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DA62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sz w:val="44"/>
          <w:szCs w:val="44"/>
          <w:u w:val="none"/>
          <w:lang w:val="en-US" w:eastAsia="zh-CN"/>
        </w:rPr>
        <w:t>苏州市“十五五”园林和林业发展规划</w:t>
      </w:r>
    </w:p>
    <w:p w14:paraId="3E99109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_GB2312" w:hAnsi="方正小标宋_GBK" w:eastAsia="楷体_GB2312"/>
          <w:sz w:val="32"/>
          <w:szCs w:val="32"/>
          <w:u w:val="none"/>
        </w:rPr>
      </w:pPr>
      <w:r>
        <w:rPr>
          <w:rFonts w:hint="eastAsia" w:ascii="楷体_GB2312" w:hAnsi="方正小标宋_GBK" w:eastAsia="楷体_GB2312"/>
          <w:sz w:val="32"/>
          <w:szCs w:val="32"/>
          <w:u w:val="none"/>
        </w:rPr>
        <w:t>（</w:t>
      </w:r>
      <w:r>
        <w:rPr>
          <w:rFonts w:hint="eastAsia" w:ascii="楷体_GB2312" w:hAnsi="方正小标宋_GBK" w:eastAsia="楷体_GB2312"/>
          <w:sz w:val="32"/>
          <w:szCs w:val="32"/>
          <w:u w:val="none"/>
          <w:lang w:eastAsia="zh-CN"/>
        </w:rPr>
        <w:t>征求意见稿</w:t>
      </w:r>
      <w:r>
        <w:rPr>
          <w:rFonts w:hint="eastAsia" w:ascii="楷体_GB2312" w:hAnsi="方正小标宋_GBK" w:eastAsia="楷体_GB2312"/>
          <w:sz w:val="32"/>
          <w:szCs w:val="32"/>
          <w:u w:val="none"/>
        </w:rPr>
        <w:t>）</w:t>
      </w:r>
    </w:p>
    <w:p w14:paraId="3F59C8CD">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楷体_GB2312" w:hAnsi="方正小标宋_GBK" w:eastAsia="楷体_GB2312"/>
          <w:sz w:val="32"/>
          <w:szCs w:val="32"/>
          <w:u w:val="none"/>
          <w:lang w:val="en-US" w:eastAsia="zh-CN"/>
        </w:rPr>
      </w:pPr>
    </w:p>
    <w:p w14:paraId="197F35B7">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黑体" w:hAnsi="黑体" w:eastAsia="黑体" w:cs="黑体"/>
          <w:sz w:val="36"/>
          <w:szCs w:val="36"/>
          <w:u w:val="none"/>
          <w:lang w:val="en-US" w:eastAsia="zh-CN"/>
        </w:rPr>
      </w:pPr>
      <w:r>
        <w:rPr>
          <w:rFonts w:hint="eastAsia" w:ascii="黑体" w:hAnsi="黑体" w:eastAsia="黑体" w:cs="黑体"/>
          <w:sz w:val="36"/>
          <w:szCs w:val="36"/>
          <w:u w:val="none"/>
          <w:lang w:val="en-US" w:eastAsia="zh-CN"/>
        </w:rPr>
        <w:t>“十四五”工作成效</w:t>
      </w:r>
    </w:p>
    <w:p w14:paraId="3ACE6E6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lang w:val="en-US" w:eastAsia="zh-CN"/>
        </w:rPr>
        <w:t>“十四五”期间，苏州市园林绿化系统坚持以习近平新时代中国特色社会主义思想为指导，深入贯彻落实党中央、国务院关于生态文明建设的决策部署，牢固树立和践行绿水青山就是金山银山理念，紧扣高质量发展与生态文明建设主题，坚持生态优先、绿色发展，保护与发展并重。系统聚焦</w:t>
      </w:r>
      <w:r>
        <w:rPr>
          <w:rFonts w:hint="eastAsia" w:ascii="仿宋_GB2312" w:hAnsi="仿宋_GB2312" w:eastAsia="仿宋_GB2312" w:cs="仿宋_GB2312"/>
          <w:b/>
          <w:bCs/>
          <w:sz w:val="32"/>
          <w:szCs w:val="32"/>
          <w:u w:val="none"/>
          <w:lang w:val="en-US" w:eastAsia="zh-CN"/>
        </w:rPr>
        <w:t>“园林之城”“公园城市”“国际湿地城市”</w:t>
      </w:r>
      <w:r>
        <w:rPr>
          <w:rFonts w:hint="eastAsia" w:ascii="仿宋_GB2312" w:hAnsi="仿宋_GB2312" w:eastAsia="仿宋_GB2312" w:cs="仿宋_GB2312"/>
          <w:b w:val="0"/>
          <w:bCs w:val="0"/>
          <w:sz w:val="32"/>
          <w:szCs w:val="32"/>
          <w:u w:val="none"/>
          <w:lang w:val="en-US" w:eastAsia="zh-CN"/>
        </w:rPr>
        <w:t>三件大事，实现了生态价值、文化价值、社会价值与经济价值的协调统一与同步提升，为苏州打造令人向往的生态宜居创新之城和社会主义现代化强市构筑了坚实的绿色基底与生态支撑。</w:t>
      </w:r>
    </w:p>
    <w:p w14:paraId="0C36877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一是“园林之城”名片更加闪亮。</w:t>
      </w:r>
      <w:r>
        <w:rPr>
          <w:rFonts w:hint="eastAsia" w:ascii="仿宋_GB2312" w:hAnsi="仿宋_GB2312" w:eastAsia="仿宋_GB2312" w:cs="仿宋_GB2312"/>
          <w:b w:val="0"/>
          <w:bCs w:val="0"/>
          <w:sz w:val="32"/>
          <w:szCs w:val="32"/>
          <w:u w:val="none"/>
          <w:lang w:val="en-US" w:eastAsia="zh-CN"/>
        </w:rPr>
        <w:t>圆满完成苏州园林景区风貌与服务整治提升“五大行动”，全力拓展苏州园林全球“姐妹园”关系网，与美国“兰苏园”、加拿大“逸园”、意大利“波波里花园”、新加坡“蕴秀园”以及法国、葡萄牙等各国园林开展互访互展等合作交流。累计完成全市15处园林修复工作，实现环秀山庄与王鏊祠一体化开放，“苏州古典园林活化利用”获得“国际花园旅游奖”“全国十佳文化遗产旅游案例”，“拙政问雅”获“全球世界遗产教育创新案例奖”，在亚太地区建立了53个教育基地，“青少年遗产教育项目”入围“全球世界遗产教育创新案例”。</w:t>
      </w:r>
    </w:p>
    <w:p w14:paraId="0F67990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二是“公园城市”风貌更加靓丽。</w:t>
      </w:r>
      <w:r>
        <w:rPr>
          <w:rFonts w:hint="eastAsia" w:ascii="仿宋_GB2312" w:hAnsi="仿宋_GB2312" w:eastAsia="仿宋_GB2312" w:cs="仿宋_GB2312"/>
          <w:b w:val="0"/>
          <w:bCs w:val="0"/>
          <w:sz w:val="32"/>
          <w:szCs w:val="32"/>
          <w:u w:val="none"/>
          <w:lang w:val="en-US" w:eastAsia="zh-CN"/>
        </w:rPr>
        <w:t>在全国唯一“国家生态园林城市群”称号的基础上，实施“生态筑城、绿道连城、公园融城、乐享园林、苏式生活”五大专项行动，完成三年425个项目建设，完成40条总计126千米城市绿道建设，46条总计286公里森林步道，新（改）建城市公园28个、口袋公园240个。绿地公园、绿道（廊）工程每年均入选全市“十大民心工程”。城市“四角山水”“石湖景区生态园”项目、“虎丘山文化景观保护”项目分别斩获2022年、2024年国际风景园林师联合会（IFLA）亚非中东地区奖。</w:t>
      </w:r>
    </w:p>
    <w:p w14:paraId="38D6268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三是“国际湿地城市”底色更加鲜明。</w:t>
      </w:r>
      <w:r>
        <w:rPr>
          <w:rFonts w:hint="eastAsia" w:ascii="仿宋_GB2312" w:hAnsi="仿宋_GB2312" w:eastAsia="仿宋_GB2312" w:cs="仿宋_GB2312"/>
          <w:b w:val="0"/>
          <w:bCs w:val="0"/>
          <w:sz w:val="32"/>
          <w:szCs w:val="32"/>
          <w:u w:val="none"/>
          <w:lang w:val="en-US" w:eastAsia="zh-CN"/>
        </w:rPr>
        <w:t>在全国率先设立“湿地好不好，鸟儿说了算”的考评体系，荣获“生态中国湿地保护示范奖”，“昆山天福国家湿地公园鸟类栖息地修复”项目获“全球生物多样性100+案例”，“微生物改善太湖湿地”项目获“国家林草局梁希林业科技进步奖二等奖”。在“国际湿地城市”创建上，苏州于《湿地公约》第十五届缔约方大会上获“国际湿地城市”认证，湿地保护迈入全国领先、接轨全球的新阶段。</w:t>
      </w:r>
    </w:p>
    <w:p w14:paraId="51C25B40">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黑体" w:hAnsi="黑体" w:eastAsia="黑体" w:cs="黑体"/>
          <w:sz w:val="36"/>
          <w:szCs w:val="36"/>
          <w:u w:val="none"/>
          <w:lang w:val="en-US" w:eastAsia="zh-CN"/>
        </w:rPr>
      </w:pPr>
      <w:r>
        <w:rPr>
          <w:rFonts w:hint="eastAsia" w:ascii="黑体" w:hAnsi="黑体" w:eastAsia="黑体" w:cs="黑体"/>
          <w:sz w:val="36"/>
          <w:szCs w:val="36"/>
          <w:u w:val="none"/>
          <w:lang w:val="en-US" w:eastAsia="zh-CN"/>
        </w:rPr>
        <w:t>第二章  “十五五”总体要求</w:t>
      </w:r>
    </w:p>
    <w:p w14:paraId="11229ABE">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val="0"/>
          <w:bCs w:val="0"/>
          <w:sz w:val="32"/>
          <w:szCs w:val="32"/>
          <w:u w:val="none"/>
          <w:lang w:val="en-US" w:eastAsia="zh-CN"/>
        </w:rPr>
        <w:t>一、总体思路</w:t>
      </w:r>
    </w:p>
    <w:p w14:paraId="100C8BF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default" w:ascii="仿宋_GB2312" w:hAnsi="仿宋_GB2312" w:eastAsia="仿宋_GB2312" w:cs="仿宋_GB2312"/>
          <w:b/>
          <w:bCs/>
          <w:sz w:val="32"/>
          <w:szCs w:val="32"/>
          <w:u w:val="none"/>
          <w:lang w:val="en-US" w:eastAsia="zh-CN"/>
        </w:rPr>
        <w:t>文化自信、</w:t>
      </w:r>
      <w:r>
        <w:rPr>
          <w:rFonts w:hint="eastAsia" w:ascii="仿宋_GB2312" w:hAnsi="仿宋_GB2312" w:eastAsia="仿宋_GB2312" w:cs="仿宋_GB2312"/>
          <w:b/>
          <w:bCs/>
          <w:sz w:val="32"/>
          <w:szCs w:val="32"/>
          <w:u w:val="none"/>
          <w:lang w:val="en-US" w:eastAsia="zh-CN"/>
        </w:rPr>
        <w:t>世遗</w:t>
      </w:r>
      <w:r>
        <w:rPr>
          <w:rFonts w:hint="default" w:ascii="仿宋_GB2312" w:hAnsi="仿宋_GB2312" w:eastAsia="仿宋_GB2312" w:cs="仿宋_GB2312"/>
          <w:b/>
          <w:bCs/>
          <w:sz w:val="32"/>
          <w:szCs w:val="32"/>
          <w:u w:val="none"/>
          <w:lang w:val="en-US" w:eastAsia="zh-CN"/>
        </w:rPr>
        <w:t>保护。</w:t>
      </w:r>
      <w:r>
        <w:rPr>
          <w:rFonts w:hint="default" w:ascii="仿宋_GB2312" w:hAnsi="仿宋_GB2312" w:eastAsia="仿宋_GB2312" w:cs="仿宋_GB2312"/>
          <w:sz w:val="32"/>
          <w:szCs w:val="32"/>
          <w:u w:val="none"/>
          <w:lang w:val="en-US" w:eastAsia="zh-CN"/>
        </w:rPr>
        <w:t>坚定文化自信，展现世界文化遗产苏州园林的文化力量。将苏州园林的保护、传承、利用作为首要职责，深化园林遗产价值的挖掘与活态利用，加强中外文化遗产领域的对话与合作，面向世界讲好苏州园林故事。</w:t>
      </w:r>
    </w:p>
    <w:p w14:paraId="1946758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default" w:ascii="仿宋_GB2312" w:hAnsi="仿宋_GB2312" w:eastAsia="仿宋_GB2312" w:cs="仿宋_GB2312"/>
          <w:b/>
          <w:bCs/>
          <w:sz w:val="32"/>
          <w:szCs w:val="32"/>
          <w:u w:val="none"/>
          <w:lang w:val="en-US" w:eastAsia="zh-CN"/>
        </w:rPr>
        <w:t>人民至上、</w:t>
      </w:r>
      <w:r>
        <w:rPr>
          <w:rFonts w:hint="eastAsia" w:ascii="仿宋_GB2312" w:hAnsi="仿宋_GB2312" w:eastAsia="仿宋_GB2312" w:cs="仿宋_GB2312"/>
          <w:b/>
          <w:bCs/>
          <w:sz w:val="32"/>
          <w:szCs w:val="32"/>
          <w:u w:val="none"/>
          <w:lang w:val="en-US" w:eastAsia="zh-CN"/>
        </w:rPr>
        <w:t>普惠民生</w:t>
      </w:r>
      <w:r>
        <w:rPr>
          <w:rFonts w:hint="default" w:ascii="仿宋_GB2312" w:hAnsi="仿宋_GB2312" w:eastAsia="仿宋_GB2312" w:cs="仿宋_GB2312"/>
          <w:b/>
          <w:bCs/>
          <w:sz w:val="32"/>
          <w:szCs w:val="32"/>
          <w:u w:val="none"/>
          <w:lang w:val="en-US" w:eastAsia="zh-CN"/>
        </w:rPr>
        <w:t>。</w:t>
      </w:r>
      <w:r>
        <w:rPr>
          <w:rFonts w:hint="default" w:ascii="仿宋_GB2312" w:hAnsi="仿宋_GB2312" w:eastAsia="仿宋_GB2312" w:cs="仿宋_GB2312"/>
          <w:sz w:val="32"/>
          <w:szCs w:val="32"/>
          <w:u w:val="none"/>
          <w:lang w:val="en-US" w:eastAsia="zh-CN"/>
        </w:rPr>
        <w:t>践行以人民为中心的发展思想，增加园林绿地、森林湿地等优美生态环境和优质生态产品的高质量、均衡化供给。以生态项目和惠民活动为抓手，构建“人人参与、人人共享”的绿色空间服务机制。</w:t>
      </w:r>
    </w:p>
    <w:p w14:paraId="56C5A85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default" w:ascii="仿宋_GB2312" w:hAnsi="仿宋_GB2312" w:eastAsia="仿宋_GB2312" w:cs="仿宋_GB2312"/>
          <w:b/>
          <w:bCs/>
          <w:sz w:val="32"/>
          <w:szCs w:val="32"/>
          <w:u w:val="none"/>
          <w:lang w:val="en-US" w:eastAsia="zh-CN"/>
        </w:rPr>
        <w:t>生态优先、绿色发展。</w:t>
      </w:r>
      <w:r>
        <w:rPr>
          <w:rFonts w:hint="default" w:ascii="仿宋_GB2312" w:hAnsi="仿宋_GB2312" w:eastAsia="仿宋_GB2312" w:cs="仿宋_GB2312"/>
          <w:sz w:val="32"/>
          <w:szCs w:val="32"/>
          <w:u w:val="none"/>
          <w:lang w:val="en-US" w:eastAsia="zh-CN"/>
        </w:rPr>
        <w:t>深入践行习近平生态文明思想，打造苏州特色“山水林园湖”治理体系。保护长江、太湖、南部湿地为界的生态本底，维护“四角山水”的城市特色空间格局，绿廊绿道有机串联苏州园林、城市公园、城市绿化、森林湿地、自然公园五大生态系统。</w:t>
      </w:r>
    </w:p>
    <w:p w14:paraId="00BBCCF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区域协调</w:t>
      </w:r>
      <w:r>
        <w:rPr>
          <w:rFonts w:hint="default" w:ascii="仿宋_GB2312" w:hAnsi="仿宋_GB2312" w:eastAsia="仿宋_GB2312" w:cs="仿宋_GB2312"/>
          <w:b/>
          <w:bCs/>
          <w:sz w:val="32"/>
          <w:szCs w:val="32"/>
          <w:u w:val="none"/>
          <w:lang w:val="en-US" w:eastAsia="zh-CN"/>
        </w:rPr>
        <w:t>、</w:t>
      </w:r>
      <w:r>
        <w:rPr>
          <w:rFonts w:hint="eastAsia" w:ascii="仿宋_GB2312" w:hAnsi="仿宋_GB2312" w:eastAsia="仿宋_GB2312" w:cs="仿宋_GB2312"/>
          <w:b/>
          <w:bCs/>
          <w:sz w:val="32"/>
          <w:szCs w:val="32"/>
          <w:u w:val="none"/>
          <w:lang w:val="en-US" w:eastAsia="zh-CN"/>
        </w:rPr>
        <w:t>战略优先</w:t>
      </w:r>
      <w:r>
        <w:rPr>
          <w:rFonts w:hint="default" w:ascii="仿宋_GB2312" w:hAnsi="仿宋_GB2312" w:eastAsia="仿宋_GB2312" w:cs="仿宋_GB2312"/>
          <w:b/>
          <w:bCs/>
          <w:sz w:val="32"/>
          <w:szCs w:val="32"/>
          <w:u w:val="none"/>
          <w:lang w:val="en-US" w:eastAsia="zh-CN"/>
        </w:rPr>
        <w:t>。</w:t>
      </w:r>
      <w:r>
        <w:rPr>
          <w:rFonts w:hint="default" w:ascii="仿宋_GB2312" w:hAnsi="仿宋_GB2312" w:eastAsia="仿宋_GB2312" w:cs="仿宋_GB2312"/>
          <w:sz w:val="32"/>
          <w:szCs w:val="32"/>
          <w:u w:val="none"/>
          <w:lang w:val="en-US" w:eastAsia="zh-CN"/>
        </w:rPr>
        <w:t>坚持系统观念，将行业发展置于长三角一体化发展等国家战略和全市经济社会发展大局中，更好对接上海都市圈规划，在苏州园林、自然公园、森林步道等方面发挥苏州山水资源禀赋和深厚人文历史优势。</w:t>
      </w:r>
    </w:p>
    <w:p w14:paraId="2E9799C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动能转换</w:t>
      </w:r>
      <w:r>
        <w:rPr>
          <w:rFonts w:hint="default" w:ascii="仿宋_GB2312" w:hAnsi="仿宋_GB2312" w:eastAsia="仿宋_GB2312" w:cs="仿宋_GB2312"/>
          <w:b/>
          <w:bCs/>
          <w:sz w:val="32"/>
          <w:szCs w:val="32"/>
          <w:u w:val="none"/>
          <w:lang w:val="en-US" w:eastAsia="zh-CN"/>
        </w:rPr>
        <w:t>、</w:t>
      </w:r>
      <w:r>
        <w:rPr>
          <w:rFonts w:hint="eastAsia" w:ascii="仿宋_GB2312" w:hAnsi="仿宋_GB2312" w:eastAsia="仿宋_GB2312" w:cs="仿宋_GB2312"/>
          <w:b/>
          <w:bCs/>
          <w:sz w:val="32"/>
          <w:szCs w:val="32"/>
          <w:u w:val="none"/>
          <w:lang w:val="en-US" w:eastAsia="zh-CN"/>
        </w:rPr>
        <w:t>创新引领</w:t>
      </w:r>
      <w:r>
        <w:rPr>
          <w:rFonts w:hint="default" w:ascii="仿宋_GB2312" w:hAnsi="仿宋_GB2312" w:eastAsia="仿宋_GB2312" w:cs="仿宋_GB2312"/>
          <w:b/>
          <w:bCs/>
          <w:sz w:val="32"/>
          <w:szCs w:val="32"/>
          <w:u w:val="none"/>
          <w:lang w:val="en-US" w:eastAsia="zh-CN"/>
        </w:rPr>
        <w:t>。</w:t>
      </w:r>
      <w:r>
        <w:rPr>
          <w:rFonts w:hint="default" w:ascii="仿宋_GB2312" w:hAnsi="仿宋_GB2312" w:eastAsia="仿宋_GB2312" w:cs="仿宋_GB2312"/>
          <w:sz w:val="32"/>
          <w:szCs w:val="32"/>
          <w:u w:val="none"/>
          <w:lang w:val="en-US" w:eastAsia="zh-CN"/>
        </w:rPr>
        <w:t>立足新发展阶段，贯彻新发展理念，运用科技创新推动行业高质量发展。充分运用人工智能大数据、物联网等，赋能遗产园林与林业资源监测、公众服务、产品供给等各环节，培育新业态，激发新动能。</w:t>
      </w:r>
    </w:p>
    <w:p w14:paraId="140EBCE8">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val="0"/>
          <w:bCs w:val="0"/>
          <w:sz w:val="32"/>
          <w:szCs w:val="32"/>
          <w:u w:val="none"/>
          <w:lang w:val="en-US" w:eastAsia="zh-CN"/>
        </w:rPr>
        <w:t>二、主要目标</w:t>
      </w:r>
    </w:p>
    <w:p w14:paraId="7FDEA3A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default" w:ascii="仿宋_GB2312" w:hAnsi="仿宋_GB2312" w:eastAsia="仿宋_GB2312" w:cs="仿宋_GB2312"/>
          <w:b/>
          <w:bCs/>
          <w:sz w:val="32"/>
          <w:szCs w:val="32"/>
          <w:u w:val="none"/>
          <w:lang w:val="en-US" w:eastAsia="zh-CN"/>
        </w:rPr>
        <w:t>一是</w:t>
      </w:r>
      <w:r>
        <w:rPr>
          <w:rFonts w:hint="eastAsia" w:ascii="仿宋_GB2312" w:hAnsi="仿宋_GB2312" w:eastAsia="仿宋_GB2312" w:cs="仿宋_GB2312"/>
          <w:b/>
          <w:bCs/>
          <w:sz w:val="32"/>
          <w:szCs w:val="32"/>
          <w:u w:val="none"/>
          <w:lang w:val="en-US" w:eastAsia="zh-CN"/>
        </w:rPr>
        <w:t>树立苏州园林对话世界的东方名片。</w:t>
      </w:r>
      <w:r>
        <w:rPr>
          <w:rFonts w:hint="eastAsia" w:ascii="仿宋_GB2312" w:hAnsi="仿宋_GB2312" w:eastAsia="仿宋_GB2312" w:cs="仿宋_GB2312"/>
          <w:b w:val="0"/>
          <w:bCs w:val="0"/>
          <w:sz w:val="32"/>
          <w:szCs w:val="32"/>
          <w:u w:val="none"/>
          <w:lang w:val="en-US" w:eastAsia="zh-CN"/>
        </w:rPr>
        <w:t>打造世遗园林国际朋友圈，</w:t>
      </w:r>
      <w:r>
        <w:rPr>
          <w:rFonts w:hint="default" w:ascii="仿宋_GB2312" w:hAnsi="仿宋_GB2312" w:eastAsia="仿宋_GB2312" w:cs="仿宋_GB2312"/>
          <w:sz w:val="32"/>
          <w:szCs w:val="32"/>
          <w:u w:val="none"/>
          <w:lang w:val="en-US" w:eastAsia="zh-CN"/>
        </w:rPr>
        <w:t>发展具有</w:t>
      </w:r>
      <w:r>
        <w:rPr>
          <w:rFonts w:hint="eastAsia" w:ascii="仿宋_GB2312" w:hAnsi="仿宋_GB2312" w:eastAsia="仿宋_GB2312" w:cs="仿宋_GB2312"/>
          <w:sz w:val="32"/>
          <w:szCs w:val="32"/>
          <w:u w:val="none"/>
          <w:lang w:val="en-US" w:eastAsia="zh-CN"/>
        </w:rPr>
        <w:t>全球</w:t>
      </w:r>
      <w:r>
        <w:rPr>
          <w:rFonts w:hint="default" w:ascii="仿宋_GB2312" w:hAnsi="仿宋_GB2312" w:eastAsia="仿宋_GB2312" w:cs="仿宋_GB2312"/>
          <w:sz w:val="32"/>
          <w:szCs w:val="32"/>
          <w:u w:val="none"/>
          <w:lang w:val="en-US" w:eastAsia="zh-CN"/>
        </w:rPr>
        <w:t>价值感召力的苏州园林文化事业。推动实现“园林外移”，实现园林文化的活态传承与创新发展，系统梳理苏州园林文化脉络，推动古典园林营造技艺的保护与传承。深入挖掘苏州园林蕴含的哲学思想与艺术价值，提升苏州园林的魅力度</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val="en-US" w:eastAsia="zh-CN"/>
        </w:rPr>
        <w:t>彰显苏州</w:t>
      </w:r>
      <w:r>
        <w:rPr>
          <w:rFonts w:hint="eastAsia" w:ascii="仿宋_GB2312" w:hAnsi="仿宋_GB2312" w:eastAsia="仿宋_GB2312" w:cs="仿宋_GB2312"/>
          <w:sz w:val="32"/>
          <w:szCs w:val="32"/>
          <w:u w:val="none"/>
          <w:lang w:val="en-US" w:eastAsia="zh-CN"/>
        </w:rPr>
        <w:t>世界知名</w:t>
      </w:r>
      <w:r>
        <w:rPr>
          <w:rFonts w:hint="default" w:ascii="仿宋_GB2312" w:hAnsi="仿宋_GB2312" w:eastAsia="仿宋_GB2312" w:cs="仿宋_GB2312"/>
          <w:sz w:val="32"/>
          <w:szCs w:val="32"/>
          <w:u w:val="none"/>
          <w:lang w:val="en-US" w:eastAsia="zh-CN"/>
        </w:rPr>
        <w:t>“园林之城”的独特魅力。</w:t>
      </w:r>
    </w:p>
    <w:p w14:paraId="59D566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000000"/>
          <w:kern w:val="0"/>
          <w:sz w:val="32"/>
          <w:szCs w:val="32"/>
          <w:u w:val="none"/>
          <w:lang w:val="en-US" w:eastAsia="zh-CN"/>
        </w:rPr>
      </w:pPr>
      <w:r>
        <w:rPr>
          <w:rFonts w:hint="default" w:ascii="仿宋_GB2312" w:hAnsi="仿宋_GB2312" w:eastAsia="仿宋_GB2312" w:cs="仿宋_GB2312"/>
          <w:b/>
          <w:bCs/>
          <w:sz w:val="32"/>
          <w:szCs w:val="32"/>
          <w:u w:val="none"/>
          <w:lang w:val="en-US" w:eastAsia="zh-CN"/>
        </w:rPr>
        <w:t>二是</w:t>
      </w:r>
      <w:r>
        <w:rPr>
          <w:rFonts w:hint="eastAsia" w:ascii="仿宋_GB2312" w:hAnsi="仿宋_GB2312" w:eastAsia="仿宋_GB2312" w:cs="仿宋_GB2312"/>
          <w:b/>
          <w:bCs/>
          <w:sz w:val="32"/>
          <w:szCs w:val="32"/>
          <w:u w:val="none"/>
          <w:lang w:val="en-US" w:eastAsia="zh-CN"/>
        </w:rPr>
        <w:t>建设全民参与万众共享的山水园林城市</w:t>
      </w:r>
      <w:r>
        <w:rPr>
          <w:rFonts w:hint="default" w:ascii="仿宋_GB2312" w:hAnsi="仿宋_GB2312" w:eastAsia="仿宋_GB2312" w:cs="仿宋_GB2312"/>
          <w:b/>
          <w:bCs/>
          <w:sz w:val="32"/>
          <w:szCs w:val="32"/>
          <w:u w:val="none"/>
          <w:lang w:val="en-US" w:eastAsia="zh-CN"/>
        </w:rPr>
        <w:t>。</w:t>
      </w:r>
      <w:r>
        <w:rPr>
          <w:rFonts w:hint="default" w:ascii="Times New Roman" w:hAnsi="Times New Roman" w:eastAsia="仿宋_GB2312" w:cs="Times New Roman"/>
          <w:color w:val="000000"/>
          <w:kern w:val="0"/>
          <w:sz w:val="32"/>
          <w:szCs w:val="32"/>
          <w:u w:val="none"/>
          <w:lang w:val="en-US" w:eastAsia="zh-CN"/>
        </w:rPr>
        <w:t>强调自然山水与城市肌理的共生共荣，以长江、太湖、西部山区、南部湿地为生态主脉，以“古城居中、四角山水”为城市构架，有机串联自然保护地、森林湿地、城市绿地与古典园林，</w:t>
      </w:r>
      <w:r>
        <w:rPr>
          <w:rFonts w:hint="eastAsia" w:ascii="Times New Roman" w:hAnsi="Times New Roman" w:eastAsia="仿宋_GB2312" w:cs="Times New Roman"/>
          <w:color w:val="000000"/>
          <w:kern w:val="0"/>
          <w:sz w:val="32"/>
          <w:szCs w:val="32"/>
          <w:u w:val="none"/>
          <w:lang w:val="en-US" w:eastAsia="zh-CN"/>
        </w:rPr>
        <w:t>苏州园林的城市文脉传承活力充分迸发。生态优势有效转化为发展优势，</w:t>
      </w:r>
      <w:r>
        <w:rPr>
          <w:rFonts w:hint="default" w:ascii="Times New Roman" w:hAnsi="Times New Roman" w:eastAsia="仿宋_GB2312" w:cs="Times New Roman"/>
          <w:color w:val="000000"/>
          <w:kern w:val="0"/>
          <w:sz w:val="32"/>
          <w:szCs w:val="32"/>
          <w:u w:val="none"/>
          <w:lang w:val="en-US" w:eastAsia="zh-CN"/>
        </w:rPr>
        <w:t>塑造“山环水抱、蓝绿交织、繁花缀点”的独特城市格局，用古典园林的精巧绘就新时代人与自然和谐共生的美丽画卷。</w:t>
      </w:r>
    </w:p>
    <w:p w14:paraId="7C31495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b w:val="0"/>
          <w:bCs w:val="0"/>
          <w:sz w:val="32"/>
          <w:szCs w:val="32"/>
          <w:u w:val="none"/>
          <w:lang w:val="en-US" w:eastAsia="zh-CN"/>
        </w:rPr>
      </w:pPr>
      <w:r>
        <w:rPr>
          <w:rFonts w:hint="default" w:ascii="仿宋_GB2312" w:hAnsi="仿宋_GB2312" w:eastAsia="仿宋_GB2312" w:cs="仿宋_GB2312"/>
          <w:b/>
          <w:bCs/>
          <w:color w:val="auto"/>
          <w:sz w:val="32"/>
          <w:szCs w:val="32"/>
          <w:u w:val="none"/>
          <w:lang w:val="en-US" w:eastAsia="zh-CN"/>
        </w:rPr>
        <w:t>三是</w:t>
      </w:r>
      <w:r>
        <w:rPr>
          <w:rFonts w:hint="eastAsia" w:ascii="仿宋_GB2312" w:hAnsi="仿宋_GB2312" w:eastAsia="仿宋_GB2312" w:cs="仿宋_GB2312"/>
          <w:b/>
          <w:bCs/>
          <w:color w:val="auto"/>
          <w:sz w:val="32"/>
          <w:szCs w:val="32"/>
          <w:u w:val="none"/>
          <w:lang w:val="en-US" w:eastAsia="zh-CN"/>
        </w:rPr>
        <w:t>构建“现代林业体系”“国际湿地城市”的韧性基底</w:t>
      </w:r>
      <w:r>
        <w:rPr>
          <w:rFonts w:hint="default" w:ascii="仿宋_GB2312" w:hAnsi="仿宋_GB2312" w:eastAsia="仿宋_GB2312" w:cs="仿宋_GB2312"/>
          <w:b/>
          <w:bCs/>
          <w:color w:val="auto"/>
          <w:sz w:val="32"/>
          <w:szCs w:val="32"/>
          <w:u w:val="none"/>
          <w:lang w:val="en-US" w:eastAsia="zh-CN"/>
        </w:rPr>
        <w:t>。</w:t>
      </w:r>
      <w:r>
        <w:rPr>
          <w:rFonts w:hint="default" w:ascii="仿宋_GB2312" w:hAnsi="仿宋_GB2312" w:eastAsia="仿宋_GB2312" w:cs="仿宋_GB2312"/>
          <w:sz w:val="32"/>
          <w:szCs w:val="32"/>
          <w:u w:val="none"/>
          <w:lang w:val="en-US" w:eastAsia="zh-CN"/>
        </w:rPr>
        <w:t>践行“绿水青山就是金山银山”理念，强化林业资源保护与高质量发展，彰显“国际湿地城市”特色，绘就人与自然和谐共生的江南森林湿地画卷。依托自然山水脉络，以苏州风景路串联郊野公园，构建以</w:t>
      </w:r>
      <w:r>
        <w:rPr>
          <w:rFonts w:hint="eastAsia" w:ascii="仿宋_GB2312" w:hAnsi="仿宋_GB2312" w:eastAsia="仿宋_GB2312" w:cs="仿宋_GB2312"/>
          <w:sz w:val="32"/>
          <w:szCs w:val="32"/>
          <w:u w:val="none"/>
          <w:lang w:val="en-US" w:eastAsia="zh-CN"/>
        </w:rPr>
        <w:t>自然</w:t>
      </w:r>
      <w:r>
        <w:rPr>
          <w:rFonts w:hint="default" w:ascii="仿宋_GB2312" w:hAnsi="仿宋_GB2312" w:eastAsia="仿宋_GB2312" w:cs="仿宋_GB2312"/>
          <w:sz w:val="32"/>
          <w:szCs w:val="32"/>
          <w:u w:val="none"/>
          <w:lang w:val="en-US" w:eastAsia="zh-CN"/>
        </w:rPr>
        <w:t>为美的城市蓝绿空间，营造健康现代的休闲游憩生活方式。注重蓝绿空间互联互通与公共服务功能融合，推动生态空间与城市生活有机衔接，促进生产、生活、生态“三生”融合，全面提升城市韧性。</w:t>
      </w:r>
    </w:p>
    <w:p w14:paraId="29E78A04">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val="0"/>
          <w:bCs w:val="0"/>
          <w:sz w:val="32"/>
          <w:szCs w:val="32"/>
          <w:u w:val="none"/>
          <w:lang w:val="en-US" w:eastAsia="zh-CN"/>
        </w:rPr>
        <w:t>三、具体目标</w:t>
      </w:r>
    </w:p>
    <w:p w14:paraId="799B65A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i w:val="0"/>
          <w:iCs w:val="0"/>
          <w:strike w:val="0"/>
          <w:dstrike w:val="0"/>
          <w:color w:val="auto"/>
          <w:sz w:val="32"/>
          <w:szCs w:val="32"/>
          <w:highlight w:val="none"/>
          <w:u w:val="none"/>
          <w:lang w:val="en-US" w:eastAsia="zh-CN"/>
        </w:rPr>
        <w:t>一是树立苏州园林全球典范。</w:t>
      </w:r>
      <w:r>
        <w:rPr>
          <w:rFonts w:hint="eastAsia" w:ascii="仿宋_GB2312" w:hAnsi="仿宋_GB2312" w:eastAsia="仿宋_GB2312" w:cs="仿宋_GB2312"/>
          <w:sz w:val="32"/>
          <w:szCs w:val="32"/>
          <w:u w:val="none"/>
          <w:lang w:val="en-US" w:eastAsia="zh-CN"/>
        </w:rPr>
        <w:t>持续擦亮苏州古典园林世界文化遗产金字招牌，携手联合国教科文组织和全球高校，梳理世界文化遗产科研价值。加强与世界各国园林和遗产地的交流合作，联动“九大世遗园林”“百园名录”整体保护体系。深化园林美学挖掘，彰显各类园林特色，做好十大古典园林经典活动，组织百场百园花事活动，打造“夜园林”品牌，开展全国赏枫、赏月、名园、名亭胜地交流，提升园林艺术影响力。探索以园林建筑为本体，深挖园林人文艺术精髓，营造独特园林体验，致力于建成世界文化遗产保护与利用的世界级标杆。</w:t>
      </w:r>
    </w:p>
    <w:p w14:paraId="1B3197D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i w:val="0"/>
          <w:iCs w:val="0"/>
          <w:strike w:val="0"/>
          <w:dstrike w:val="0"/>
          <w:color w:val="auto"/>
          <w:sz w:val="32"/>
          <w:szCs w:val="32"/>
          <w:highlight w:val="none"/>
          <w:u w:val="none"/>
          <w:lang w:val="en-US" w:eastAsia="zh-CN"/>
        </w:rPr>
        <w:t>二是</w:t>
      </w:r>
      <w:r>
        <w:rPr>
          <w:rFonts w:hint="eastAsia" w:ascii="仿宋_GB2312" w:hAnsi="仿宋_GB2312" w:eastAsia="仿宋_GB2312" w:cs="仿宋_GB2312"/>
          <w:b/>
          <w:bCs/>
          <w:sz w:val="32"/>
          <w:szCs w:val="32"/>
          <w:u w:val="none"/>
          <w:lang w:val="en-US" w:eastAsia="zh-CN"/>
        </w:rPr>
        <w:t>打造“花漾苏州”品牌。</w:t>
      </w:r>
      <w:r>
        <w:rPr>
          <w:rFonts w:hint="eastAsia" w:ascii="仿宋_GB2312" w:hAnsi="仿宋_GB2312" w:eastAsia="仿宋_GB2312" w:cs="仿宋_GB2312"/>
          <w:sz w:val="32"/>
          <w:szCs w:val="32"/>
          <w:u w:val="none"/>
          <w:lang w:val="en-US" w:eastAsia="zh-CN"/>
        </w:rPr>
        <w:t>构建“百园千点千带多景”的城市花卉空间体系。</w:t>
      </w:r>
      <w:r>
        <w:rPr>
          <w:rFonts w:hint="eastAsia" w:ascii="仿宋_GB2312" w:hAnsi="仿宋_GB2312" w:eastAsia="仿宋_GB2312" w:cs="仿宋_GB2312"/>
          <w:color w:val="auto"/>
          <w:sz w:val="32"/>
          <w:szCs w:val="32"/>
          <w:highlight w:val="none"/>
          <w:u w:val="none"/>
          <w:lang w:val="en-US" w:eastAsia="zh-CN"/>
        </w:rPr>
        <w:t>以苏州园林为核心，开展拙政园夏荷、留园山茶、狮子林冬梅、沧浪亭春兰等四季花卉展览。</w:t>
      </w:r>
      <w:r>
        <w:rPr>
          <w:rFonts w:hint="default" w:ascii="仿宋_GB2312" w:hAnsi="仿宋_GB2312" w:eastAsia="仿宋_GB2312" w:cs="仿宋_GB2312"/>
          <w:color w:val="auto"/>
          <w:sz w:val="32"/>
          <w:szCs w:val="32"/>
          <w:highlight w:val="none"/>
          <w:u w:val="none"/>
          <w:lang w:val="en-US" w:eastAsia="zh-CN"/>
        </w:rPr>
        <w:t>突出“一季一主题、一域一特色”花卉景观布局，</w:t>
      </w:r>
      <w:r>
        <w:rPr>
          <w:rFonts w:hint="eastAsia" w:ascii="仿宋_GB2312" w:hAnsi="仿宋_GB2312" w:eastAsia="仿宋_GB2312" w:cs="仿宋_GB2312"/>
          <w:color w:val="auto"/>
          <w:sz w:val="32"/>
          <w:szCs w:val="32"/>
          <w:highlight w:val="none"/>
          <w:u w:val="none"/>
          <w:lang w:val="en-US" w:eastAsia="zh-CN"/>
        </w:rPr>
        <w:t>打造和公布“一路一景”城市景观道路和特色花墙。</w:t>
      </w:r>
      <w:r>
        <w:rPr>
          <w:rFonts w:hint="eastAsia" w:ascii="仿宋_GB2312" w:hAnsi="仿宋_GB2312" w:eastAsia="仿宋_GB2312" w:cs="仿宋_GB2312"/>
          <w:sz w:val="32"/>
          <w:szCs w:val="32"/>
          <w:u w:val="none"/>
          <w:lang w:val="en-US" w:eastAsia="zh-CN"/>
        </w:rPr>
        <w:t>鼓励社会各界力量参与门前花园种植养护，推动全市单位、商铺等千余个社会绿化点位更新，拓展城市景观界面。营造郊野特色花海景点，</w:t>
      </w:r>
      <w:r>
        <w:rPr>
          <w:rFonts w:hint="eastAsia" w:ascii="仿宋_GB2312" w:hAnsi="仿宋_GB2312" w:eastAsia="仿宋_GB2312" w:cs="仿宋_GB2312"/>
          <w:color w:val="auto"/>
          <w:sz w:val="32"/>
          <w:szCs w:val="32"/>
          <w:highlight w:val="none"/>
          <w:u w:val="none"/>
          <w:lang w:val="en-US" w:eastAsia="zh-CN"/>
        </w:rPr>
        <w:t>推出郊野赏花观鸟点位，</w:t>
      </w:r>
      <w:r>
        <w:rPr>
          <w:rFonts w:hint="eastAsia" w:ascii="仿宋_GB2312" w:hAnsi="仿宋_GB2312" w:eastAsia="仿宋_GB2312" w:cs="仿宋_GB2312"/>
          <w:sz w:val="32"/>
          <w:szCs w:val="32"/>
          <w:u w:val="none"/>
          <w:lang w:val="en-US" w:eastAsia="zh-CN"/>
        </w:rPr>
        <w:t>以自然山水脉络串起城市“大风景”。契合市民游客审美意趣，</w:t>
      </w:r>
      <w:r>
        <w:rPr>
          <w:rFonts w:hint="eastAsia" w:ascii="仿宋_GB2312" w:hAnsi="仿宋_GB2312" w:eastAsia="仿宋_GB2312" w:cs="仿宋_GB2312"/>
          <w:i w:val="0"/>
          <w:iCs w:val="0"/>
          <w:caps w:val="0"/>
          <w:color w:val="auto"/>
          <w:spacing w:val="0"/>
          <w:sz w:val="32"/>
          <w:szCs w:val="32"/>
          <w:highlight w:val="none"/>
          <w:u w:val="none"/>
          <w:shd w:val="clear" w:color="auto" w:fill="FFFFFF"/>
          <w:lang w:val="en-US" w:eastAsia="zh-CN"/>
        </w:rPr>
        <w:t>推出</w:t>
      </w:r>
      <w:r>
        <w:rPr>
          <w:rFonts w:hint="eastAsia" w:ascii="仿宋_GB2312" w:hAnsi="仿宋_GB2312" w:eastAsia="仿宋_GB2312" w:cs="仿宋_GB2312"/>
          <w:color w:val="auto"/>
          <w:sz w:val="32"/>
          <w:szCs w:val="32"/>
          <w:highlight w:val="none"/>
          <w:u w:val="none"/>
          <w:lang w:val="en-US" w:eastAsia="zh-CN"/>
        </w:rPr>
        <w:t>全域</w:t>
      </w:r>
      <w:r>
        <w:rPr>
          <w:rFonts w:hint="eastAsia" w:ascii="仿宋_GB2312" w:hAnsi="仿宋_GB2312" w:eastAsia="仿宋_GB2312" w:cs="仿宋_GB2312"/>
          <w:i w:val="0"/>
          <w:iCs w:val="0"/>
          <w:caps w:val="0"/>
          <w:color w:val="auto"/>
          <w:spacing w:val="0"/>
          <w:sz w:val="32"/>
          <w:szCs w:val="32"/>
          <w:highlight w:val="none"/>
          <w:u w:val="none"/>
          <w:shd w:val="clear" w:color="auto" w:fill="FFFFFF"/>
          <w:lang w:val="en-US" w:eastAsia="zh-CN"/>
        </w:rPr>
        <w:t>赏花指数和赏花地图，</w:t>
      </w:r>
      <w:r>
        <w:rPr>
          <w:rFonts w:hint="eastAsia" w:ascii="仿宋_GB2312" w:hAnsi="仿宋_GB2312" w:eastAsia="仿宋_GB2312" w:cs="仿宋_GB2312"/>
          <w:sz w:val="32"/>
          <w:szCs w:val="32"/>
          <w:u w:val="none"/>
          <w:lang w:val="en-US" w:eastAsia="zh-CN"/>
        </w:rPr>
        <w:t>推动花卉文化与“苏式生活”深度融合，做好苏州“花漾”文章。</w:t>
      </w:r>
    </w:p>
    <w:p w14:paraId="42396DC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三是拓展活力绿地空间。</w:t>
      </w:r>
      <w:r>
        <w:rPr>
          <w:rFonts w:hint="eastAsia" w:ascii="仿宋_GB2312" w:hAnsi="仿宋_GB2312" w:eastAsia="仿宋_GB2312" w:cs="仿宋_GB2312"/>
          <w:sz w:val="32"/>
          <w:szCs w:val="32"/>
          <w:u w:val="none"/>
          <w:lang w:val="en-US" w:eastAsia="zh-CN"/>
        </w:rPr>
        <w:t>推动“公园+”融合发展，多维度共享公园空间。坚持需求导向、普惠共享和文脉传承原则，因地制宜实施配套文体服务配置，布置儿童友好、全民健身、便民服务等设施，重点解决老城区活动空间稀缺等问题。宣传推广开放共享文化，</w:t>
      </w:r>
      <w:r>
        <w:rPr>
          <w:rFonts w:hint="eastAsia" w:ascii="仿宋_GB2312" w:hAnsi="仿宋_GB2312" w:eastAsia="仿宋_GB2312" w:cs="仿宋_GB2312"/>
          <w:color w:val="auto"/>
          <w:sz w:val="32"/>
          <w:szCs w:val="32"/>
          <w:highlight w:val="none"/>
          <w:u w:val="none"/>
          <w:lang w:val="en-US" w:eastAsia="zh-CN"/>
        </w:rPr>
        <w:t>开展“公园+”系列主题活动近百场，</w:t>
      </w:r>
      <w:r>
        <w:rPr>
          <w:rFonts w:hint="eastAsia" w:ascii="仿宋_GB2312" w:hAnsi="仿宋_GB2312" w:eastAsia="仿宋_GB2312" w:cs="仿宋_GB2312"/>
          <w:sz w:val="32"/>
          <w:szCs w:val="32"/>
          <w:u w:val="none"/>
          <w:lang w:val="en-US" w:eastAsia="zh-CN"/>
        </w:rPr>
        <w:t>打造特色品牌活动，推动“一园一品”活力矩阵建设，组织“公园＋运动”生态链活动，包括球类赛事、文化市集、研学互动等沉浸式体验，实现“周周有赛事，月月有乐活”，让公园成为市民休闲、运动、娱乐的好去处。</w:t>
      </w:r>
    </w:p>
    <w:p w14:paraId="57C4B531">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四是夯实林业生态本底。</w:t>
      </w:r>
      <w:r>
        <w:rPr>
          <w:rFonts w:hint="eastAsia" w:ascii="仿宋_GB2312" w:hAnsi="仿宋_GB2312" w:eastAsia="仿宋_GB2312" w:cs="仿宋_GB2312"/>
          <w:color w:val="auto"/>
          <w:sz w:val="32"/>
          <w:szCs w:val="32"/>
          <w:highlight w:val="none"/>
          <w:u w:val="none"/>
          <w:lang w:val="en-US" w:eastAsia="zh-CN"/>
        </w:rPr>
        <w:t>保持森林湿地资源数量稳定，全市山体和湿地得到全面保护，全面摸排森林步道、绿道、登山道、砍柴道、古道、亲水廊道，构建以环太湖区域为核心、市域范围为辐射的苏州风景路体系，积极打造公布风景路和郊野公园。推动国际湿地城市联盟学校建设；</w:t>
      </w:r>
      <w:r>
        <w:rPr>
          <w:rFonts w:hint="eastAsia" w:ascii="仿宋_GB2312" w:hAnsi="仿宋_GB2312" w:eastAsia="仿宋_GB2312" w:cs="仿宋_GB2312"/>
          <w:sz w:val="32"/>
          <w:szCs w:val="32"/>
          <w:u w:val="none"/>
          <w:lang w:val="en-US" w:eastAsia="zh-CN"/>
        </w:rPr>
        <w:t>策划多层次、低干预户外体验场景，为市民游客提供生态健康的生活游憩方式。利用监测遥感、管理执法等手段机制，高效保护森林、湿地、自然保护地和野生动植物资源，筑牢生态屏障。</w:t>
      </w:r>
      <w:r>
        <w:rPr>
          <w:rFonts w:hint="eastAsia" w:ascii="仿宋_GB2312" w:hAnsi="仿宋_GB2312" w:eastAsia="仿宋_GB2312" w:cs="仿宋_GB2312"/>
          <w:sz w:val="32"/>
          <w:szCs w:val="32"/>
          <w:highlight w:val="none"/>
          <w:u w:val="none"/>
          <w:lang w:val="en-US" w:eastAsia="zh-CN"/>
        </w:rPr>
        <w:t>共享“国际湿地城市”成果，强化自然学校亮点，</w:t>
      </w:r>
      <w:r>
        <w:rPr>
          <w:rFonts w:hint="eastAsia" w:ascii="仿宋_GB2312" w:hAnsi="仿宋_GB2312" w:eastAsia="仿宋_GB2312" w:cs="仿宋_GB2312"/>
          <w:sz w:val="32"/>
          <w:szCs w:val="32"/>
          <w:u w:val="none"/>
          <w:lang w:val="en-US" w:eastAsia="zh-CN"/>
        </w:rPr>
        <w:t>推出多元化群众喜爱的自然教育和生态休闲产品，让生态空间“活”起来。</w:t>
      </w:r>
    </w:p>
    <w:p w14:paraId="4E2E5397">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bCs/>
          <w:sz w:val="32"/>
          <w:szCs w:val="32"/>
          <w:u w:val="none"/>
          <w:lang w:val="en-US" w:eastAsia="zh-CN"/>
        </w:rPr>
        <w:t>五是守牢安全保护底线。</w:t>
      </w:r>
      <w:r>
        <w:rPr>
          <w:rFonts w:hint="eastAsia" w:ascii="仿宋_GB2312" w:hAnsi="仿宋_GB2312" w:eastAsia="仿宋_GB2312" w:cs="仿宋_GB2312"/>
          <w:b w:val="0"/>
          <w:bCs w:val="0"/>
          <w:color w:val="auto"/>
          <w:sz w:val="32"/>
          <w:szCs w:val="32"/>
          <w:u w:val="none"/>
          <w:lang w:val="en-US" w:eastAsia="zh-CN"/>
        </w:rPr>
        <w:t>着力构建运行高效的“大安全”管理格局，持续推进安全生产和森林防火治理体系与治理能力现代化。在园林景区安全方面，健全安全生产责任体系，完善风险预警与防控机制，提升突发事件应急处置效能，严防各类安全事故。在森林防火领域，系统推进责任落实、基础设施和预防预警三大体系建设，全面提升森林火灾综合防控能力，最大限度减少资源损失，保障人民群众生命财产安全。通过统筹推进、协同发力，实现全域安全风险可知可控、精准防控，筑牢高质量发展的安全保障根基。</w:t>
      </w:r>
    </w:p>
    <w:p w14:paraId="539D15EA">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eastAsia" w:ascii="仿宋_GB2312" w:hAnsi="仿宋_GB2312" w:eastAsia="仿宋_GB2312" w:cs="仿宋_GB2312"/>
          <w:b/>
          <w:bCs/>
          <w:sz w:val="32"/>
          <w:szCs w:val="32"/>
          <w:u w:val="none"/>
          <w:lang w:val="en-US" w:eastAsia="zh-CN"/>
        </w:rPr>
        <w:t>六是</w:t>
      </w:r>
      <w:r>
        <w:rPr>
          <w:rFonts w:hint="default" w:ascii="仿宋_GB2312" w:hAnsi="仿宋_GB2312" w:eastAsia="仿宋_GB2312" w:cs="仿宋_GB2312"/>
          <w:b/>
          <w:bCs/>
          <w:sz w:val="32"/>
          <w:szCs w:val="32"/>
          <w:u w:val="none"/>
          <w:lang w:val="en-US" w:eastAsia="zh-CN"/>
        </w:rPr>
        <w:t>打造“美丽经济”新引擎</w:t>
      </w:r>
      <w:r>
        <w:rPr>
          <w:rFonts w:hint="eastAsia" w:ascii="仿宋_GB2312" w:hAnsi="仿宋_GB2312" w:eastAsia="仿宋_GB2312" w:cs="仿宋_GB2312"/>
          <w:b/>
          <w:bCs/>
          <w:sz w:val="32"/>
          <w:szCs w:val="32"/>
          <w:u w:val="none"/>
          <w:lang w:val="en-US" w:eastAsia="zh-CN"/>
        </w:rPr>
        <w:t>。</w:t>
      </w:r>
      <w:r>
        <w:rPr>
          <w:rFonts w:hint="eastAsia" w:ascii="Times New Roman" w:hAnsi="Times New Roman" w:eastAsia="仿宋_GB2312" w:cs="Times New Roman"/>
          <w:color w:val="auto"/>
          <w:kern w:val="0"/>
          <w:sz w:val="31"/>
          <w:szCs w:val="31"/>
          <w:u w:val="none"/>
          <w:lang w:val="en-US" w:eastAsia="zh-CN" w:bidi="ar"/>
        </w:rPr>
        <w:t>贯彻“绿水青山就是金山银山”的</w:t>
      </w:r>
      <w:r>
        <w:rPr>
          <w:rFonts w:hint="eastAsia" w:ascii="Times New Roman" w:hAnsi="Times New Roman" w:eastAsia="仿宋_GB2312" w:cs="Times New Roman"/>
          <w:color w:val="auto"/>
          <w:kern w:val="0"/>
          <w:sz w:val="32"/>
          <w:szCs w:val="32"/>
          <w:u w:val="none"/>
          <w:lang w:val="en-US" w:eastAsia="zh-CN" w:bidi="ar"/>
        </w:rPr>
        <w:t>价值转换路径，</w:t>
      </w:r>
      <w:r>
        <w:rPr>
          <w:rFonts w:hint="default" w:ascii="Times New Roman" w:hAnsi="Times New Roman" w:eastAsia="仿宋_GB2312" w:cs="Times New Roman"/>
          <w:color w:val="auto"/>
          <w:kern w:val="0"/>
          <w:sz w:val="32"/>
          <w:szCs w:val="32"/>
          <w:u w:val="none"/>
          <w:lang w:val="en-US" w:eastAsia="zh-CN" w:bidi="ar"/>
        </w:rPr>
        <w:t>扎根世界文化遗产苏州园林的艺术美学土壤，</w:t>
      </w:r>
      <w:r>
        <w:rPr>
          <w:rFonts w:hint="eastAsia" w:ascii="Times New Roman" w:hAnsi="Times New Roman" w:eastAsia="仿宋_GB2312" w:cs="Times New Roman"/>
          <w:color w:val="000000"/>
          <w:kern w:val="0"/>
          <w:sz w:val="32"/>
          <w:szCs w:val="32"/>
          <w:u w:val="none"/>
          <w:lang w:val="en-US" w:eastAsia="zh-CN"/>
        </w:rPr>
        <w:t>促进生态优势有效转化为发展优势</w:t>
      </w:r>
      <w:r>
        <w:rPr>
          <w:rFonts w:hint="eastAsia" w:ascii="Times New Roman" w:hAnsi="Times New Roman" w:eastAsia="仿宋_GB2312" w:cs="Times New Roman"/>
          <w:color w:val="auto"/>
          <w:kern w:val="0"/>
          <w:sz w:val="32"/>
          <w:szCs w:val="32"/>
          <w:u w:val="none"/>
          <w:lang w:val="en-US" w:eastAsia="zh-CN" w:bidi="ar"/>
        </w:rPr>
        <w:t>辐射周边经济产业，</w:t>
      </w:r>
      <w:r>
        <w:rPr>
          <w:rFonts w:hint="eastAsia" w:ascii="Times New Roman" w:hAnsi="Times New Roman" w:eastAsia="仿宋_GB2312" w:cs="Times New Roman"/>
          <w:color w:val="000000"/>
          <w:kern w:val="0"/>
          <w:sz w:val="32"/>
          <w:szCs w:val="32"/>
          <w:u w:val="none"/>
          <w:lang w:val="en-US" w:eastAsia="zh-CN"/>
        </w:rPr>
        <w:t>美丽经济业态进一步发展。</w:t>
      </w:r>
      <w:r>
        <w:rPr>
          <w:rFonts w:hint="eastAsia" w:ascii="Times New Roman" w:hAnsi="Times New Roman" w:eastAsia="仿宋_GB2312" w:cs="Times New Roman"/>
          <w:color w:val="auto"/>
          <w:kern w:val="0"/>
          <w:sz w:val="32"/>
          <w:szCs w:val="32"/>
          <w:u w:val="none"/>
          <w:lang w:val="en-US" w:eastAsia="zh-CN" w:bidi="ar"/>
        </w:rPr>
        <w:t>打造古典园林、城市公园、森林湿地全域消费场景，</w:t>
      </w:r>
      <w:r>
        <w:rPr>
          <w:rFonts w:hint="eastAsia" w:ascii="Times New Roman" w:hAnsi="Times New Roman" w:eastAsia="仿宋_GB2312" w:cs="Times New Roman"/>
          <w:color w:val="auto"/>
          <w:kern w:val="2"/>
          <w:sz w:val="32"/>
          <w:szCs w:val="32"/>
          <w:u w:val="none"/>
          <w:lang w:val="en-US" w:eastAsia="zh-CN" w:bidi="ar-SA"/>
        </w:rPr>
        <w:t>加强辐射影响，</w:t>
      </w:r>
      <w:r>
        <w:rPr>
          <w:rFonts w:hint="default" w:ascii="Times New Roman" w:hAnsi="Times New Roman" w:eastAsia="仿宋_GB2312" w:cs="Times New Roman"/>
          <w:color w:val="auto"/>
          <w:kern w:val="2"/>
          <w:sz w:val="32"/>
          <w:szCs w:val="32"/>
          <w:u w:val="none"/>
          <w:lang w:val="en-US" w:eastAsia="zh-CN" w:bidi="ar-SA"/>
        </w:rPr>
        <w:t>带动</w:t>
      </w:r>
      <w:r>
        <w:rPr>
          <w:rFonts w:hint="eastAsia" w:ascii="Times New Roman" w:hAnsi="Times New Roman" w:eastAsia="仿宋_GB2312" w:cs="Times New Roman"/>
          <w:color w:val="auto"/>
          <w:sz w:val="32"/>
          <w:szCs w:val="32"/>
          <w:highlight w:val="none"/>
          <w:u w:val="none"/>
          <w:lang w:val="en-US" w:eastAsia="zh-CN"/>
        </w:rPr>
        <w:t>全域住宿、餐饮、交通等直接和间接</w:t>
      </w:r>
      <w:r>
        <w:rPr>
          <w:rFonts w:hint="default" w:ascii="Times New Roman" w:hAnsi="Times New Roman" w:eastAsia="仿宋_GB2312" w:cs="Times New Roman"/>
          <w:color w:val="auto"/>
          <w:sz w:val="32"/>
          <w:szCs w:val="32"/>
          <w:highlight w:val="none"/>
          <w:u w:val="none"/>
          <w:lang w:val="en-US" w:eastAsia="zh-CN"/>
        </w:rPr>
        <w:t>消费</w:t>
      </w:r>
      <w:r>
        <w:rPr>
          <w:rFonts w:hint="eastAsia" w:ascii="Times New Roman" w:hAnsi="Times New Roman" w:eastAsia="仿宋_GB2312" w:cs="Times New Roman"/>
          <w:color w:val="auto"/>
          <w:sz w:val="32"/>
          <w:szCs w:val="32"/>
          <w:highlight w:val="none"/>
          <w:u w:val="none"/>
          <w:lang w:val="en-US" w:eastAsia="zh-CN"/>
        </w:rPr>
        <w:t>，</w:t>
      </w:r>
      <w:r>
        <w:rPr>
          <w:rFonts w:hint="eastAsia" w:ascii="Times New Roman" w:hAnsi="Times New Roman" w:eastAsia="仿宋_GB2312" w:cs="Times New Roman"/>
          <w:color w:val="auto"/>
          <w:kern w:val="2"/>
          <w:sz w:val="32"/>
          <w:szCs w:val="32"/>
          <w:u w:val="none"/>
          <w:lang w:val="en-US" w:eastAsia="zh-CN" w:bidi="ar-SA"/>
        </w:rPr>
        <w:t>争创拉动全市花卉产业消费及周边衍生消费链</w:t>
      </w:r>
      <w:r>
        <w:rPr>
          <w:rFonts w:hint="default" w:ascii="Times New Roman" w:hAnsi="Times New Roman" w:eastAsia="仿宋_GB2312" w:cs="Times New Roman"/>
          <w:color w:val="auto"/>
          <w:sz w:val="32"/>
          <w:szCs w:val="32"/>
          <w:highlight w:val="none"/>
          <w:u w:val="none"/>
          <w:lang w:val="en-US" w:eastAsia="zh-CN"/>
        </w:rPr>
        <w:t>。</w:t>
      </w:r>
      <w:r>
        <w:rPr>
          <w:rFonts w:hint="eastAsia" w:ascii="Times New Roman" w:hAnsi="Times New Roman" w:eastAsia="仿宋_GB2312" w:cs="Times New Roman"/>
          <w:color w:val="auto"/>
          <w:kern w:val="0"/>
          <w:sz w:val="32"/>
          <w:szCs w:val="32"/>
          <w:u w:val="none"/>
          <w:lang w:val="en-US" w:eastAsia="zh-CN" w:bidi="ar"/>
        </w:rPr>
        <w:t>让林业和园林资源转化为实实在在的经济收益，大力</w:t>
      </w:r>
      <w:r>
        <w:rPr>
          <w:rFonts w:hint="default" w:ascii="Times New Roman" w:hAnsi="Times New Roman" w:eastAsia="仿宋_GB2312" w:cs="Times New Roman"/>
          <w:color w:val="auto"/>
          <w:kern w:val="0"/>
          <w:sz w:val="31"/>
          <w:szCs w:val="31"/>
          <w:u w:val="none"/>
          <w:lang w:val="en-US" w:eastAsia="zh-CN" w:bidi="ar"/>
        </w:rPr>
        <w:t>推动“颜值”变“产值”。</w:t>
      </w:r>
      <w:bookmarkStart w:id="0" w:name="OLE_LINK1"/>
    </w:p>
    <w:bookmarkEnd w:id="0"/>
    <w:p w14:paraId="4670A2B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黑体" w:hAnsi="黑体" w:eastAsia="黑体" w:cs="黑体"/>
          <w:sz w:val="36"/>
          <w:szCs w:val="36"/>
          <w:u w:val="none"/>
          <w:lang w:val="en-US" w:eastAsia="zh-CN"/>
        </w:rPr>
      </w:pPr>
      <w:r>
        <w:rPr>
          <w:rFonts w:hint="eastAsia" w:ascii="黑体" w:hAnsi="黑体" w:eastAsia="黑体" w:cs="黑体"/>
          <w:sz w:val="36"/>
          <w:szCs w:val="36"/>
          <w:u w:val="none"/>
          <w:lang w:val="en-US" w:eastAsia="zh-CN"/>
        </w:rPr>
        <w:t>第三章 “十五五”主要任务</w:t>
      </w:r>
    </w:p>
    <w:p w14:paraId="301FAA1A">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楷体_GB2312" w:hAnsi="楷体_GB2312" w:eastAsia="楷体_GB2312" w:cs="楷体_GB2312"/>
          <w:b w:val="0"/>
          <w:bCs w:val="0"/>
          <w:sz w:val="32"/>
          <w:szCs w:val="32"/>
          <w:u w:val="none"/>
          <w:lang w:val="en-US" w:eastAsia="zh-CN"/>
        </w:rPr>
      </w:pPr>
      <w:r>
        <w:rPr>
          <w:rFonts w:hint="eastAsia" w:ascii="楷体_GB2312" w:hAnsi="楷体_GB2312" w:eastAsia="楷体_GB2312" w:cs="楷体_GB2312"/>
          <w:b w:val="0"/>
          <w:bCs w:val="0"/>
          <w:sz w:val="32"/>
          <w:szCs w:val="32"/>
          <w:u w:val="none"/>
          <w:lang w:val="en-US" w:eastAsia="zh-CN"/>
        </w:rPr>
        <w:t>第一节  苏州园林全球品牌</w:t>
      </w:r>
    </w:p>
    <w:p w14:paraId="4D68AB6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进一步贯彻落实市委、市政府关于持续推进“苏州园林走向世界”的重要精神，夯实“园林之城”保护传承发展，以联动机制创新、标准化建设及国际交流展示为主线，助力“园林之城”高质量建设与遗产保护全球实践。</w:t>
      </w:r>
    </w:p>
    <w:p w14:paraId="6DF8147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拓展世遗园林国际交流。</w:t>
      </w:r>
      <w:r>
        <w:rPr>
          <w:rFonts w:hint="eastAsia" w:ascii="仿宋_GB2312" w:hAnsi="仿宋_GB2312" w:eastAsia="仿宋_GB2312" w:cs="仿宋_GB2312"/>
          <w:sz w:val="32"/>
          <w:szCs w:val="32"/>
          <w:u w:val="none"/>
          <w:lang w:val="en-US" w:eastAsia="zh-CN"/>
        </w:rPr>
        <w:t>推动园林文化“走出去”，持续深化与联合国教科文组织的合作交流，推进并实施文化遗产保护与传承三年行动计划。</w:t>
      </w:r>
      <w:r>
        <w:rPr>
          <w:rFonts w:hint="eastAsia" w:ascii="仿宋_GB2312" w:hAnsi="仿宋_GB2312" w:eastAsia="仿宋_GB2312" w:cs="仿宋_GB2312"/>
          <w:color w:val="auto"/>
          <w:sz w:val="32"/>
          <w:szCs w:val="32"/>
          <w:u w:val="none"/>
          <w:lang w:val="en-US" w:eastAsia="zh-CN"/>
        </w:rPr>
        <w:t>制定“世界遗产青年营造师”计划，</w:t>
      </w:r>
      <w:r>
        <w:rPr>
          <w:rFonts w:hint="eastAsia" w:ascii="仿宋_GB2312" w:hAnsi="仿宋_GB2312" w:eastAsia="仿宋_GB2312" w:cs="仿宋_GB2312"/>
          <w:sz w:val="32"/>
          <w:szCs w:val="32"/>
          <w:u w:val="none"/>
          <w:lang w:val="en-US" w:eastAsia="zh-CN"/>
        </w:rPr>
        <w:t>不断拓宽国际交流渠道，深化与海外著名园林、姐妹园等交流互鉴，每年举办海外园林园事花事活动，让海外民众直观感受园林之美。</w:t>
      </w:r>
    </w:p>
    <w:p w14:paraId="06D749E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树立苏州园林群体保护新标杆。</w:t>
      </w:r>
      <w:r>
        <w:rPr>
          <w:rFonts w:hint="eastAsia" w:ascii="仿宋_GB2312" w:hAnsi="仿宋_GB2312" w:eastAsia="仿宋_GB2312" w:cs="仿宋_GB2312"/>
          <w:sz w:val="32"/>
          <w:szCs w:val="32"/>
          <w:u w:val="none"/>
          <w:lang w:val="en-US" w:eastAsia="zh-CN"/>
        </w:rPr>
        <w:t>加强园林行业管理，系统推进《苏州园林名录》108座园林的群体性保护。构建“百园结对联动”机制，积极推广“大园带小园”理念，使冷热园林资源互通，持续激励百园在保护管理工作中创新发展。串联全域园林，强化“我在苏州游园林”传统园事花事品牌，策划园事花事特色活动。加强对外交流与合作，吸引更多的社会力量参与，持续推进“苏州古典园林司法生态修复基地”建设，共同探索园林保护管理的新途径，全面激发苏州园林群体的时代活力。</w:t>
      </w:r>
    </w:p>
    <w:p w14:paraId="3308995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持之以恒提升保护修缮水平。</w:t>
      </w:r>
      <w:r>
        <w:rPr>
          <w:rFonts w:hint="eastAsia" w:ascii="仿宋_GB2312" w:hAnsi="仿宋_GB2312" w:eastAsia="仿宋_GB2312" w:cs="仿宋_GB2312"/>
          <w:b w:val="0"/>
          <w:bCs w:val="0"/>
          <w:sz w:val="32"/>
          <w:szCs w:val="32"/>
          <w:u w:val="none"/>
          <w:lang w:val="en-US" w:eastAsia="zh-CN"/>
        </w:rPr>
        <w:t>做好遗产监测系统</w:t>
      </w:r>
      <w:r>
        <w:rPr>
          <w:rFonts w:hint="eastAsia" w:ascii="仿宋_GB2312" w:hAnsi="仿宋_GB2312" w:eastAsia="仿宋_GB2312" w:cs="仿宋_GB2312"/>
          <w:sz w:val="32"/>
          <w:szCs w:val="32"/>
          <w:u w:val="none"/>
          <w:lang w:val="en-US" w:eastAsia="zh-CN"/>
        </w:rPr>
        <w:t>精细化维护。建筑、假山、驳岸、铺地等园林本体在修缮过程中，严格遵循“最小干预”原则，确保修旧如旧，维护园林原有风貌和内涵。传承和创新园林艺术技艺。以虎丘、留园、拙政园为重点，培育专类盆景园，建设苏派盆景大师工作室。研究香山帮技艺，持续复原明瓦镶嵌、油漆工艺、苏式彩绘、花街铺地等传统材料法式。坚持人才培养，培养一批国家、省、市级盆景大师和园林古建筑修缮管理人才。携手高等院校、专业科研院所，整合建筑学、材料科学、环境工程、历史人文等多学科力量，跨领域深度研究，推动各类研究成果用于实践，苏州古典园林保护事业更加科学化、精准化、持续化。</w:t>
      </w:r>
    </w:p>
    <w:p w14:paraId="28E5FF3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搭建遗产教育国际舞台。</w:t>
      </w:r>
      <w:r>
        <w:rPr>
          <w:rFonts w:hint="eastAsia" w:ascii="仿宋_GB2312" w:hAnsi="仿宋_GB2312" w:eastAsia="仿宋_GB2312" w:cs="仿宋_GB2312"/>
          <w:sz w:val="32"/>
          <w:szCs w:val="32"/>
          <w:u w:val="none"/>
          <w:lang w:val="en-US" w:eastAsia="zh-CN"/>
        </w:rPr>
        <w:t>深入挖掘经典造园思想研究和科普教育，讲好园林故事。不断创新苏州园林艺术在新时代的展示载体和叙事方式，做大做强“亚太地区遗产青年营造师”项目，提炼推广园林特色案例，为世界文化遗产保护提供“苏州经验”。持续举办青少年园林模型创意挑战实践活动，着力打造“让文化遗产‘活’起来”品牌，同时，扩大亚太地区古建筑保护修复技艺高级人才研修班覆盖面，将苏州园林与“香山帮”传统营造技艺逐步推向国际，让全球大众深入了解园林人文艺术之美。</w:t>
      </w:r>
    </w:p>
    <w:p w14:paraId="6490352B">
      <w:pPr>
        <w:keepNext w:val="0"/>
        <w:keepLines w:val="0"/>
        <w:pageBreakBefore w:val="0"/>
        <w:widowControl w:val="0"/>
        <w:numPr>
          <w:ilvl w:val="0"/>
          <w:numId w:val="2"/>
        </w:numPr>
        <w:kinsoku/>
        <w:wordWrap/>
        <w:overflowPunct/>
        <w:topLinePunct w:val="0"/>
        <w:autoSpaceDE/>
        <w:autoSpaceDN/>
        <w:bidi w:val="0"/>
        <w:adjustRightInd/>
        <w:snapToGrid/>
        <w:spacing w:before="159" w:beforeLines="50" w:after="159" w:afterLines="50" w:line="580" w:lineRule="exact"/>
        <w:jc w:val="center"/>
        <w:textAlignment w:val="auto"/>
        <w:rPr>
          <w:rFonts w:hint="eastAsia" w:ascii="楷体_GB2312" w:hAnsi="楷体_GB2312" w:eastAsia="楷体_GB2312" w:cs="楷体_GB2312"/>
          <w:sz w:val="32"/>
          <w:szCs w:val="32"/>
          <w:u w:val="none"/>
          <w:lang w:val="en-US" w:eastAsia="zh-CN"/>
        </w:rPr>
      </w:pPr>
      <w:r>
        <w:rPr>
          <w:rFonts w:hint="eastAsia" w:ascii="楷体_GB2312" w:hAnsi="楷体_GB2312" w:eastAsia="楷体_GB2312" w:cs="楷体_GB2312"/>
          <w:sz w:val="32"/>
          <w:szCs w:val="32"/>
          <w:u w:val="none"/>
          <w:lang w:val="en-US" w:eastAsia="zh-CN"/>
        </w:rPr>
        <w:t xml:space="preserve"> 城市绿化内涵式发展</w:t>
      </w:r>
    </w:p>
    <w:p w14:paraId="48AAEAC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以服务新时代人民对美好生活的向往为导向，精细化推进城市绿化美化，构建层次分明、简约适度的绿化景观，营造四季有花、处处皆景的花漾氛围，推动实现城市绿化系统性提升、内涵式增长，让绿色成为最普惠的民生福祉，激发城市活力和吸引力。</w:t>
      </w:r>
    </w:p>
    <w:p w14:paraId="4E885DC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突出“重点区域”绿化特色。</w:t>
      </w:r>
      <w:r>
        <w:rPr>
          <w:rFonts w:hint="eastAsia" w:ascii="仿宋_GB2312" w:hAnsi="仿宋_GB2312" w:eastAsia="仿宋_GB2312" w:cs="仿宋_GB2312"/>
          <w:b w:val="0"/>
          <w:bCs w:val="0"/>
          <w:sz w:val="32"/>
          <w:szCs w:val="32"/>
          <w:highlight w:val="none"/>
          <w:u w:val="none"/>
          <w:lang w:val="en-US" w:eastAsia="zh-CN"/>
        </w:rPr>
        <w:t>以城市主次干道沿线绿地、公园绿地、景观河湖沿岸滨水绿地为重点，分类施策推进“疏绿透景”，优化植被空间层次，打开绿地空间，拓宽观景视野，透出自然河湖风貌，营造简洁大气、疏朗有序的景观效果。推广使用传统乡土树种以及木本、宿根花卉等适生植物，以精细化养护管理，培育干将路玉兰、人民路月季、现代大道樱花等“一路一景”花卉色叶景观道路。</w:t>
      </w:r>
    </w:p>
    <w:p w14:paraId="48F99AF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营造“全民参与”社会绿化。</w:t>
      </w:r>
      <w:r>
        <w:rPr>
          <w:rFonts w:hint="eastAsia" w:ascii="仿宋_GB2312" w:hAnsi="仿宋_GB2312" w:eastAsia="仿宋_GB2312" w:cs="仿宋_GB2312"/>
          <w:b w:val="0"/>
          <w:bCs w:val="0"/>
          <w:sz w:val="32"/>
          <w:szCs w:val="32"/>
          <w:highlight w:val="none"/>
          <w:u w:val="none"/>
          <w:lang w:val="en-US" w:eastAsia="zh-CN"/>
        </w:rPr>
        <w:t>拓宽社会绿化参与广度，推动社会绿化向街巷里弄、单位附属绿地、居民庭院阳台、社区花园延伸，引导社会各界打造精致门前小花园和特色花墙。采取“政府引导、企业支持、社会助力、居民参与”的“社志融合”新模式，聚焦老旧小区中50平方米以下的小、散、碎“闲置地”。动态发布“花漾苏州”赏花地图、赏花线路，深入推进全民参与社会绿化活动，以点连线成面发挥引领作用，让更多“门前小花园”串联成城市“大风景”。</w:t>
      </w:r>
    </w:p>
    <w:p w14:paraId="4F91520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构建“普惠共享”空间场景。</w:t>
      </w:r>
      <w:r>
        <w:rPr>
          <w:rFonts w:hint="eastAsia" w:ascii="仿宋_GB2312" w:hAnsi="仿宋_GB2312" w:eastAsia="仿宋_GB2312" w:cs="仿宋_GB2312"/>
          <w:b w:val="0"/>
          <w:bCs w:val="0"/>
          <w:sz w:val="32"/>
          <w:szCs w:val="32"/>
          <w:highlight w:val="none"/>
          <w:u w:val="none"/>
          <w:lang w:val="en-US" w:eastAsia="zh-CN"/>
        </w:rPr>
        <w:t>因地制宜在综合公园、社区公园、口袋公园嵌入式增设健身步道、球类场地、儿童游乐、便民休闲、休憩座椅等设施，建设提升文体游乐设施。整合城市存量绿地资源，推进单位附属绿地开放共享，挖掘临时共享绿地空间，完善公园绿地服务网络体系，推动更多具备条件的公园实施“拆围透绿”和24小时开放。积极培育常态化、特色化的“公园+”品牌活动与消费场景，打造“一园一品”活力矩阵，开展各类“公园+”主题活动，逐步实现公园绿地与文化、旅游、体育、消费等多元深度融合，不断丰富市民绿色生活体验。</w:t>
      </w:r>
    </w:p>
    <w:p w14:paraId="17A5AC0B">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楷体_GB2312" w:hAnsi="楷体_GB2312" w:eastAsia="楷体_GB2312" w:cs="楷体_GB2312"/>
          <w:sz w:val="32"/>
          <w:szCs w:val="32"/>
          <w:u w:val="none"/>
          <w:lang w:val="en-US" w:eastAsia="zh-CN"/>
        </w:rPr>
      </w:pPr>
      <w:r>
        <w:rPr>
          <w:rFonts w:hint="eastAsia" w:ascii="楷体_GB2312" w:hAnsi="楷体_GB2312" w:eastAsia="楷体_GB2312" w:cs="楷体_GB2312"/>
          <w:sz w:val="32"/>
          <w:szCs w:val="32"/>
          <w:u w:val="none"/>
          <w:lang w:val="en-US" w:eastAsia="zh-CN"/>
        </w:rPr>
        <w:t>第三节  林业湿地保护</w:t>
      </w:r>
    </w:p>
    <w:p w14:paraId="6364C1A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基于山林骨架和自然风貌打造大尺度生态空间，拓宽“两山”转化路径，让城市依山而绿、因山而兴、凭山而美。做大做强“国际湿地城市”特色品牌，提升湿地系统生态和美学价值，让滨水空间真正成为可观可游可憩的幸福空间。</w:t>
      </w:r>
    </w:p>
    <w:p w14:paraId="05CEA7D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守护“大山水”生态格局。</w:t>
      </w:r>
      <w:r>
        <w:rPr>
          <w:rFonts w:hint="eastAsia" w:ascii="仿宋_GB2312" w:hAnsi="仿宋_GB2312" w:eastAsia="仿宋_GB2312" w:cs="仿宋_GB2312"/>
          <w:b/>
          <w:bCs/>
          <w:sz w:val="32"/>
          <w:szCs w:val="32"/>
          <w:u w:val="none"/>
          <w:lang w:val="en-US" w:eastAsia="zh-CN"/>
        </w:rPr>
        <w:t>一是</w:t>
      </w:r>
      <w:r>
        <w:rPr>
          <w:rFonts w:hint="eastAsia" w:ascii="仿宋_GB2312" w:hAnsi="仿宋_GB2312" w:eastAsia="仿宋_GB2312" w:cs="仿宋_GB2312"/>
          <w:sz w:val="32"/>
          <w:szCs w:val="32"/>
          <w:u w:val="none"/>
          <w:lang w:val="en-US" w:eastAsia="zh-CN"/>
        </w:rPr>
        <w:t>推进两湖一江生态修复。以太湖、阳澄湖和长江为重点，以保护优先、自然恢复为主方针，加强绿化与彩色化、珍贵化有机结合，精准提升森林质量，加快山体植被恢复，大力推进中幼林抚育、低效林改造和封山育林，多措并举促进山体森林生态系统正向演替。</w:t>
      </w:r>
      <w:r>
        <w:rPr>
          <w:rFonts w:hint="eastAsia" w:ascii="仿宋_GB2312" w:hAnsi="仿宋_GB2312" w:eastAsia="仿宋_GB2312" w:cs="仿宋_GB2312"/>
          <w:b/>
          <w:bCs/>
          <w:sz w:val="32"/>
          <w:szCs w:val="32"/>
          <w:u w:val="none"/>
          <w:lang w:val="en-US" w:eastAsia="zh-CN"/>
        </w:rPr>
        <w:t>二是</w:t>
      </w:r>
      <w:r>
        <w:rPr>
          <w:rFonts w:hint="eastAsia" w:ascii="仿宋_GB2312" w:hAnsi="仿宋_GB2312" w:eastAsia="仿宋_GB2312" w:cs="仿宋_GB2312"/>
          <w:sz w:val="32"/>
          <w:szCs w:val="32"/>
          <w:u w:val="none"/>
          <w:lang w:val="en-US" w:eastAsia="zh-CN"/>
        </w:rPr>
        <w:t>推进沿水沿路绿色廊道建设。以苏州各级水网和路网为依托，科学规划铁路公路两侧林带，推动京杭大运河（苏州段）绿色生态带建设。谋划布局“苏州风景路”户外步道路线，串联“四角山水”节点，贯通古城园林、城市绿地与郊野生境，构建“太湖—长江—四角山水—古城”三级生态廊道网络，加密绿道网络节点，加强生态廊道迁徙连通性。</w:t>
      </w:r>
      <w:r>
        <w:rPr>
          <w:rFonts w:hint="eastAsia" w:ascii="仿宋_GB2312" w:hAnsi="仿宋_GB2312" w:eastAsia="仿宋_GB2312" w:cs="仿宋_GB2312"/>
          <w:b/>
          <w:bCs/>
          <w:sz w:val="32"/>
          <w:szCs w:val="32"/>
          <w:u w:val="none"/>
          <w:lang w:val="en-US" w:eastAsia="zh-CN"/>
        </w:rPr>
        <w:t>三是</w:t>
      </w:r>
      <w:r>
        <w:rPr>
          <w:rFonts w:hint="eastAsia" w:ascii="仿宋_GB2312" w:hAnsi="仿宋_GB2312" w:eastAsia="仿宋_GB2312" w:cs="仿宋_GB2312"/>
          <w:sz w:val="32"/>
          <w:szCs w:val="32"/>
          <w:u w:val="none"/>
          <w:lang w:val="en-US" w:eastAsia="zh-CN"/>
        </w:rPr>
        <w:t>筑牢自然保护地监管防线。有序开展自然保护地落界上图、勘界立标等工作，逐步完善“一地一机构”管理配置，积极构建分类科学、保护有力、管理有效的自然保护地体系。加大自然保护地监管力度，深度联动国家和省级遥感监测图斑，进一步完善市级平台建设、提升遥感监测实效，实现问题图斑早预警、早处置的全链条管理。</w:t>
      </w:r>
      <w:r>
        <w:rPr>
          <w:rFonts w:hint="eastAsia" w:ascii="仿宋_GB2312" w:hAnsi="仿宋_GB2312" w:eastAsia="仿宋_GB2312" w:cs="仿宋_GB2312"/>
          <w:b/>
          <w:bCs/>
          <w:sz w:val="32"/>
          <w:szCs w:val="32"/>
          <w:u w:val="none"/>
          <w:lang w:val="en-US" w:eastAsia="zh-CN"/>
        </w:rPr>
        <w:t>四是</w:t>
      </w:r>
      <w:r>
        <w:rPr>
          <w:rFonts w:hint="eastAsia" w:ascii="仿宋_GB2312" w:hAnsi="仿宋_GB2312" w:eastAsia="仿宋_GB2312" w:cs="仿宋_GB2312"/>
          <w:sz w:val="32"/>
          <w:szCs w:val="32"/>
          <w:u w:val="none"/>
          <w:lang w:val="en-US" w:eastAsia="zh-CN"/>
        </w:rPr>
        <w:t>推进环城绿色生态屏障。充分衔接国土空间规划，科学划定造林绿化用地，因地制宜开展森林公园、郊野公园、环城片林建设，形成林路相依、林水相依的环城生态屏障，让城乡居民望得见山、看得见水、记得住乡愁。</w:t>
      </w:r>
    </w:p>
    <w:p w14:paraId="7ACC8B1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保护森林资源。</w:t>
      </w:r>
      <w:r>
        <w:rPr>
          <w:rFonts w:hint="eastAsia" w:ascii="仿宋_GB2312" w:hAnsi="仿宋_GB2312" w:eastAsia="仿宋_GB2312" w:cs="仿宋_GB2312"/>
          <w:b/>
          <w:bCs/>
          <w:sz w:val="32"/>
          <w:szCs w:val="32"/>
          <w:u w:val="none"/>
          <w:lang w:val="en-US" w:eastAsia="zh-CN"/>
        </w:rPr>
        <w:t>一是</w:t>
      </w:r>
      <w:r>
        <w:rPr>
          <w:rFonts w:hint="eastAsia" w:ascii="仿宋_GB2312" w:hAnsi="仿宋_GB2312" w:eastAsia="仿宋_GB2312" w:cs="仿宋_GB2312"/>
          <w:sz w:val="32"/>
          <w:szCs w:val="32"/>
          <w:u w:val="none"/>
          <w:lang w:val="en-US" w:eastAsia="zh-CN"/>
        </w:rPr>
        <w:t>加强林地与公益林保护。加强林地用途管制，严格执行林地定额管理规定，推进建设项目占用林地矢量化管理，坚持“占补平衡”制度，从严控制林地转为其他农用地、建设用地等其他地类，确保林地保有量不减少。建立完善补充林地储备库，逐步推行“先补后占”机制。依法严格执行限额采伐和凭证采伐制度。进一步加强公益林保护管理，适当提升公益林生态效益补偿标准，科学实施公益林抚育，提高林分质量，探索开展公益林生态服务功能监测评价，充分发挥公益林的生态效益和社会效益。</w:t>
      </w:r>
      <w:r>
        <w:rPr>
          <w:rFonts w:hint="eastAsia" w:ascii="仿宋_GB2312" w:hAnsi="仿宋_GB2312" w:eastAsia="仿宋_GB2312" w:cs="仿宋_GB2312"/>
          <w:b/>
          <w:bCs/>
          <w:sz w:val="32"/>
          <w:szCs w:val="32"/>
          <w:u w:val="none"/>
          <w:lang w:val="en-US" w:eastAsia="zh-CN"/>
        </w:rPr>
        <w:t>二是</w:t>
      </w:r>
      <w:r>
        <w:rPr>
          <w:rFonts w:hint="eastAsia" w:ascii="仿宋_GB2312" w:hAnsi="仿宋_GB2312" w:eastAsia="仿宋_GB2312" w:cs="仿宋_GB2312"/>
          <w:sz w:val="32"/>
          <w:szCs w:val="32"/>
          <w:u w:val="none"/>
          <w:lang w:val="en-US" w:eastAsia="zh-CN"/>
        </w:rPr>
        <w:t>严格森林资源监管。健全森林资源监测监管机制，以卫星遥感技术为手段，常态化一体化开展森林资源监管和林草生态综合监测，及时督导各地改错纠错，强化与上级部门的工作衔接，凝聚各级森林资源监管合力。扎实推进涉林案件查处整改，重点关注有案不查、查处不严不细等问题，达到刑事标准的，落实行刑衔接要求及时做好移送工作。</w:t>
      </w:r>
      <w:r>
        <w:rPr>
          <w:rFonts w:hint="eastAsia" w:ascii="仿宋_GB2312" w:hAnsi="仿宋_GB2312" w:eastAsia="仿宋_GB2312" w:cs="仿宋_GB2312"/>
          <w:b/>
          <w:bCs/>
          <w:sz w:val="32"/>
          <w:szCs w:val="32"/>
          <w:u w:val="none"/>
          <w:lang w:val="en-US" w:eastAsia="zh-CN"/>
        </w:rPr>
        <w:t>三是</w:t>
      </w:r>
      <w:r>
        <w:rPr>
          <w:rFonts w:hint="eastAsia" w:ascii="仿宋_GB2312" w:hAnsi="仿宋_GB2312" w:eastAsia="仿宋_GB2312" w:cs="仿宋_GB2312"/>
          <w:sz w:val="32"/>
          <w:szCs w:val="32"/>
          <w:u w:val="none"/>
          <w:lang w:val="en-US" w:eastAsia="zh-CN"/>
        </w:rPr>
        <w:t>提升林业有害生物防控能力。坚持突出重点，实现林业有害生物监测、检疫及防治基础设施能力提升，织牢织密监测预警网络体系，完善药剂药械库及检疫实验室等，加强森防队伍建设，做到疫情早发现、早预警、早防控，提升灾害预防和应急防控能力。聚焦松材线虫病、美国白蛾等主要林业有害生物，组织实施精准防治，形成预防与治理一体化防控技术体系和工作运行机制。</w:t>
      </w:r>
      <w:r>
        <w:rPr>
          <w:rFonts w:hint="eastAsia" w:ascii="仿宋_GB2312" w:hAnsi="仿宋_GB2312" w:eastAsia="仿宋_GB2312" w:cs="仿宋_GB2312"/>
          <w:b/>
          <w:bCs/>
          <w:sz w:val="32"/>
          <w:szCs w:val="32"/>
          <w:u w:val="none"/>
          <w:lang w:val="en-US" w:eastAsia="zh-CN"/>
        </w:rPr>
        <w:t>四是</w:t>
      </w:r>
      <w:r>
        <w:rPr>
          <w:rFonts w:hint="eastAsia" w:ascii="仿宋_GB2312" w:hAnsi="仿宋_GB2312" w:eastAsia="仿宋_GB2312" w:cs="仿宋_GB2312"/>
          <w:sz w:val="32"/>
          <w:szCs w:val="32"/>
          <w:u w:val="none"/>
          <w:lang w:val="en-US" w:eastAsia="zh-CN"/>
        </w:rPr>
        <w:t>筑牢森林防火安全屏障。实现建设标准化、队伍专业化、装备现代化、监测智能化、管理规范化、监管法治化，有效遏制重大火灾和伤亡事故。</w:t>
      </w:r>
    </w:p>
    <w:p w14:paraId="5403387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构建生物多样性网络。</w:t>
      </w:r>
      <w:r>
        <w:rPr>
          <w:rFonts w:hint="eastAsia" w:ascii="仿宋_GB2312" w:hAnsi="仿宋_GB2312" w:eastAsia="仿宋_GB2312" w:cs="仿宋_GB2312"/>
          <w:b w:val="0"/>
          <w:bCs w:val="0"/>
          <w:sz w:val="32"/>
          <w:szCs w:val="32"/>
          <w:u w:val="none"/>
          <w:lang w:val="en-US" w:eastAsia="zh-CN"/>
        </w:rPr>
        <w:t>制定保护、发展和合理利用野生动物资源的规划。</w:t>
      </w:r>
      <w:r>
        <w:rPr>
          <w:rFonts w:hint="eastAsia" w:ascii="仿宋_GB2312" w:hAnsi="仿宋_GB2312" w:eastAsia="仿宋_GB2312" w:cs="仿宋_GB2312"/>
          <w:sz w:val="32"/>
          <w:szCs w:val="32"/>
          <w:u w:val="none"/>
          <w:lang w:val="en-US" w:eastAsia="zh-CN"/>
        </w:rPr>
        <w:t>加强陆生野生动植物及其栖息地保护。开展陆生野生动植物及其栖息地调查、监测、评估，建立项目建设对省级野生动物集中分布区、候鸟迁徙通道的野生动物生存环境影响评价机制，探索评估陆生野生动物栖息地及生境修复成效。强化陆生野生动物保护与风险防控。进一步完善市级陆生野生动物收容救护中心建设，制定收容救护工作制度，指导救护中心科学开展收容救护工作。组织开展重点陆生野生动物疫源疫病取样检测工作，更新应急物资。做好陆生野生动物致害补偿工作。完善野生动植物保护监督管理体系。衔接国家、省相关规定，制定野生动植物保护管理行刑衔接、陆生野生动物致害补偿等配套政策，提升野生动植物保护政策保障水平。持续做好野生动植物行政许可审核审批工作，强化事中事后监管。充分发挥打击野生动植物非法贸易联席会议作用，强化部门协作，开展各类专项执法行动，严厉打击破坏野生动植物资源违法行为。组织开展“世界野生动植物日”“爱鸟周”等普法宣教活动，营造良好社会氛围。加强古树名木保护与复壮。贯彻落实国务院《古树名木保护条例》，修订《苏州市古树名木保护管理条例》，全面落实古树名木保护管理和养护责任，实施“一树一策”，精准管理。持续推进古树名木抢救复壮，保持古树名木旺盛生长势。开展古树名木保护智慧化管理省级试点示范，推动古树名木保护管理由传统技术向智慧智能化转变。开展古树名木系列宣传活动，创建我省古树名木保护复壮特色品牌，讲好古树名木“活的历史”文化传承故事。</w:t>
      </w:r>
    </w:p>
    <w:p w14:paraId="53DC81B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全域协同湿地资源保护。</w:t>
      </w:r>
      <w:r>
        <w:rPr>
          <w:rFonts w:hint="eastAsia" w:ascii="仿宋_GB2312" w:hAnsi="仿宋_GB2312" w:eastAsia="仿宋_GB2312" w:cs="仿宋_GB2312"/>
          <w:sz w:val="32"/>
          <w:szCs w:val="32"/>
          <w:u w:val="none"/>
          <w:lang w:val="en-US" w:eastAsia="zh-CN"/>
        </w:rPr>
        <w:t>贯彻实施新修订的《苏州市湿地保护条例》，进一步完善湿地分级管理体系，积极推进太湖湖滨申报国际重要湿地，推进市级、县级一般湿地名录认定。持续开展湿地面积变化动态监测，严格湿地用途管控，维持湿地面积稳定。依托AI优化湿地智慧网络评估体系，推进太湖湿地国家定位观测站续建工作，构建智慧化、全覆盖的湿地动态评估体系。</w:t>
      </w:r>
    </w:p>
    <w:p w14:paraId="5B52D27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全民共享国际湿地城市品牌。</w:t>
      </w:r>
      <w:r>
        <w:rPr>
          <w:rFonts w:hint="eastAsia" w:ascii="仿宋_GB2312" w:hAnsi="仿宋_GB2312" w:eastAsia="仿宋_GB2312" w:cs="仿宋_GB2312"/>
          <w:sz w:val="32"/>
          <w:szCs w:val="32"/>
          <w:u w:val="none"/>
          <w:lang w:val="en-US" w:eastAsia="zh-CN"/>
        </w:rPr>
        <w:t>以“全民共享湿地城市”为目标，拓展“湿地+乡村”“湿地+公园”“湿地+文化”等功能场景，串点成线、连线成片。重点围绕太湖、长江、重要湿地等鸟类多样性丰富的区域，激活“观鸟”“自然探索”等新业态，同时推出多元化的自然教育和生态康养产品，让湿地“活”起来，推动生态价值转化，让湿地生态资源成为乡村振兴、城市更新的新动力，让湿地资源真正成为惠及民生的绿色空间。依托“国际湿地城市”品牌，开展与国内外湿地城市的交流合作，打造“湿地联盟自然学校”“湿地公民科学家”等IP活动，宣传展示苏州湿地的保护成果与人文温度。持续推进国际湿地城市联盟自然学校建设，常态化开展“湿地公民科学家养成计划”系列活动，每年开展科普宣教活动，创新传播形式与内容表达，让湿地生态保护理念“飞入寻常百姓家”。</w:t>
      </w:r>
    </w:p>
    <w:p w14:paraId="4370F2C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健全自然保护地体系。</w:t>
      </w:r>
      <w:r>
        <w:rPr>
          <w:rFonts w:hint="eastAsia" w:ascii="仿宋_GB2312" w:hAnsi="仿宋_GB2312" w:eastAsia="仿宋_GB2312" w:cs="仿宋_GB2312"/>
          <w:sz w:val="32"/>
          <w:szCs w:val="32"/>
          <w:u w:val="none"/>
          <w:lang w:val="en-US" w:eastAsia="zh-CN"/>
        </w:rPr>
        <w:t>持续强化风景名胜区监管，建立健全卫星遥感、无人机、现场查看、综合全面督办等监管体系，优化闭环流程;根据省林业局相关工作部署，分步推进全市自然保护地勘界立标，做好归并撤销等后续工作;扎实推进第三轮中央生态环境保护督察问题整改，确保按时完成验收销号;充分衔接太湖风景名胜区条例修订颁布和总规修编公布，完善相关配套制度，协同推进详规编制。</w:t>
      </w:r>
    </w:p>
    <w:p w14:paraId="7B0D6FF7">
      <w:pPr>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580" w:lineRule="exact"/>
        <w:ind w:left="0" w:leftChars="0" w:firstLine="0" w:firstLineChars="0"/>
        <w:jc w:val="center"/>
        <w:textAlignment w:val="auto"/>
        <w:rPr>
          <w:rFonts w:hint="eastAsia" w:ascii="楷体_GB2312" w:hAnsi="楷体_GB2312" w:eastAsia="楷体_GB2312" w:cs="楷体_GB2312"/>
          <w:sz w:val="32"/>
          <w:szCs w:val="32"/>
          <w:u w:val="none"/>
          <w:lang w:val="en-US" w:eastAsia="zh-CN"/>
        </w:rPr>
      </w:pPr>
      <w:r>
        <w:rPr>
          <w:rFonts w:hint="eastAsia" w:ascii="楷体_GB2312" w:hAnsi="楷体_GB2312" w:eastAsia="楷体_GB2312" w:cs="楷体_GB2312"/>
          <w:sz w:val="32"/>
          <w:szCs w:val="32"/>
          <w:u w:val="none"/>
          <w:lang w:val="en-US" w:eastAsia="zh-CN"/>
        </w:rPr>
        <w:t xml:space="preserve"> 园林生态产业</w:t>
      </w:r>
    </w:p>
    <w:p w14:paraId="0B33867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打造“美丽经济”新引擎，实施苏州花卉盆景产业振兴计划，扎根世界文化遗产苏州园林的艺术美学土壤，打造具有品牌示范引领作用的产业新高地，推动“颜值”变“产值”。</w:t>
      </w:r>
    </w:p>
    <w:p w14:paraId="19C7370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b w:val="0"/>
          <w:bCs w:val="0"/>
          <w:color w:val="auto"/>
          <w:kern w:val="0"/>
          <w:sz w:val="32"/>
          <w:szCs w:val="32"/>
          <w:u w:val="none"/>
          <w:lang w:val="en-US" w:eastAsia="zh-CN" w:bidi="ar"/>
        </w:rPr>
      </w:pPr>
      <w:r>
        <w:rPr>
          <w:rFonts w:hint="eastAsia" w:ascii="仿宋_GB2312" w:hAnsi="仿宋_GB2312" w:eastAsia="仿宋_GB2312" w:cs="仿宋_GB2312"/>
          <w:b/>
          <w:bCs/>
          <w:sz w:val="32"/>
          <w:szCs w:val="32"/>
          <w:highlight w:val="none"/>
          <w:u w:val="none"/>
          <w:lang w:val="en-US" w:eastAsia="zh-CN"/>
        </w:rPr>
        <w:t>打造园林美学经济澎湃引擎。</w:t>
      </w:r>
      <w:r>
        <w:rPr>
          <w:rFonts w:hint="eastAsia" w:ascii="Times New Roman" w:hAnsi="Times New Roman" w:eastAsia="仿宋_GB2312" w:cs="Times New Roman"/>
          <w:b w:val="0"/>
          <w:bCs w:val="0"/>
          <w:color w:val="auto"/>
          <w:sz w:val="32"/>
          <w:szCs w:val="32"/>
          <w:u w:val="none"/>
          <w:lang w:val="en-US" w:eastAsia="zh-CN"/>
        </w:rPr>
        <w:t>做强做大花卉盆景</w:t>
      </w:r>
      <w:r>
        <w:rPr>
          <w:rFonts w:hint="default" w:ascii="Times New Roman" w:hAnsi="Times New Roman" w:eastAsia="仿宋_GB2312" w:cs="Times New Roman"/>
          <w:b w:val="0"/>
          <w:bCs w:val="0"/>
          <w:color w:val="auto"/>
          <w:sz w:val="32"/>
          <w:szCs w:val="32"/>
          <w:u w:val="none"/>
          <w:lang w:val="en-US" w:eastAsia="zh-CN"/>
        </w:rPr>
        <w:t>产业</w:t>
      </w:r>
      <w:r>
        <w:rPr>
          <w:rFonts w:hint="eastAsia" w:ascii="Times New Roman" w:hAnsi="Times New Roman" w:eastAsia="仿宋_GB2312" w:cs="Times New Roman"/>
          <w:b w:val="0"/>
          <w:bCs w:val="0"/>
          <w:color w:val="auto"/>
          <w:sz w:val="32"/>
          <w:szCs w:val="32"/>
          <w:u w:val="none"/>
          <w:lang w:val="en-US" w:eastAsia="zh-CN"/>
        </w:rPr>
        <w:t>和庭院经济，</w:t>
      </w:r>
      <w:r>
        <w:rPr>
          <w:rFonts w:hint="default" w:ascii="Times New Roman" w:hAnsi="Times New Roman" w:eastAsia="仿宋_GB2312" w:cs="Times New Roman"/>
          <w:b w:val="0"/>
          <w:bCs w:val="0"/>
          <w:color w:val="auto"/>
          <w:kern w:val="0"/>
          <w:sz w:val="32"/>
          <w:szCs w:val="32"/>
          <w:u w:val="none"/>
          <w:lang w:val="en-US" w:eastAsia="zh-CN" w:bidi="ar"/>
        </w:rPr>
        <w:t>指导构建“平台</w:t>
      </w:r>
      <w:r>
        <w:rPr>
          <w:rFonts w:hint="eastAsia" w:ascii="Times New Roman" w:hAnsi="Times New Roman" w:eastAsia="仿宋_GB2312" w:cs="Times New Roman"/>
          <w:b w:val="0"/>
          <w:bCs w:val="0"/>
          <w:color w:val="auto"/>
          <w:kern w:val="0"/>
          <w:sz w:val="32"/>
          <w:szCs w:val="32"/>
          <w:u w:val="none"/>
          <w:lang w:val="en-US" w:eastAsia="zh-CN" w:bidi="ar"/>
        </w:rPr>
        <w:t>－</w:t>
      </w:r>
      <w:r>
        <w:rPr>
          <w:rFonts w:hint="default" w:ascii="Times New Roman" w:hAnsi="Times New Roman" w:eastAsia="仿宋_GB2312" w:cs="Times New Roman"/>
          <w:b w:val="0"/>
          <w:bCs w:val="0"/>
          <w:color w:val="auto"/>
          <w:kern w:val="0"/>
          <w:sz w:val="32"/>
          <w:szCs w:val="32"/>
          <w:u w:val="none"/>
          <w:lang w:val="en-US" w:eastAsia="zh-CN" w:bidi="ar"/>
        </w:rPr>
        <w:t>批发</w:t>
      </w:r>
      <w:r>
        <w:rPr>
          <w:rFonts w:hint="eastAsia" w:ascii="Times New Roman" w:hAnsi="Times New Roman" w:eastAsia="仿宋_GB2312" w:cs="Times New Roman"/>
          <w:b w:val="0"/>
          <w:bCs w:val="0"/>
          <w:color w:val="auto"/>
          <w:kern w:val="0"/>
          <w:sz w:val="32"/>
          <w:szCs w:val="32"/>
          <w:u w:val="none"/>
          <w:lang w:val="en-US" w:eastAsia="zh-CN" w:bidi="ar"/>
        </w:rPr>
        <w:t>－</w:t>
      </w:r>
      <w:r>
        <w:rPr>
          <w:rFonts w:hint="default" w:ascii="Times New Roman" w:hAnsi="Times New Roman" w:eastAsia="仿宋_GB2312" w:cs="Times New Roman"/>
          <w:b w:val="0"/>
          <w:bCs w:val="0"/>
          <w:color w:val="auto"/>
          <w:kern w:val="0"/>
          <w:sz w:val="32"/>
          <w:szCs w:val="32"/>
          <w:u w:val="none"/>
          <w:lang w:val="en-US" w:eastAsia="zh-CN" w:bidi="ar"/>
        </w:rPr>
        <w:t>零售”的三级联动花卉</w:t>
      </w:r>
      <w:r>
        <w:rPr>
          <w:rFonts w:hint="eastAsia" w:ascii="Times New Roman" w:hAnsi="Times New Roman" w:eastAsia="仿宋_GB2312" w:cs="Times New Roman"/>
          <w:b w:val="0"/>
          <w:bCs w:val="0"/>
          <w:color w:val="auto"/>
          <w:kern w:val="0"/>
          <w:sz w:val="32"/>
          <w:szCs w:val="32"/>
          <w:u w:val="none"/>
          <w:lang w:val="en-US" w:eastAsia="zh-CN" w:bidi="ar"/>
        </w:rPr>
        <w:t>盆景</w:t>
      </w:r>
      <w:r>
        <w:rPr>
          <w:rFonts w:hint="default" w:ascii="Times New Roman" w:hAnsi="Times New Roman" w:eastAsia="仿宋_GB2312" w:cs="Times New Roman"/>
          <w:b w:val="0"/>
          <w:bCs w:val="0"/>
          <w:color w:val="auto"/>
          <w:kern w:val="0"/>
          <w:sz w:val="32"/>
          <w:szCs w:val="32"/>
          <w:u w:val="none"/>
          <w:lang w:val="en-US" w:eastAsia="zh-CN" w:bidi="ar"/>
        </w:rPr>
        <w:t>产业空间体系。重点搭建“苏州花展”“花园大会”“四季花集”等高能级产业平台，实现“展会流量”“集会流量”向“消费增量”的高效转化</w:t>
      </w:r>
      <w:r>
        <w:rPr>
          <w:rFonts w:hint="eastAsia" w:ascii="Times New Roman" w:hAnsi="Times New Roman" w:eastAsia="仿宋_GB2312" w:cs="Times New Roman"/>
          <w:b w:val="0"/>
          <w:bCs w:val="0"/>
          <w:color w:val="auto"/>
          <w:kern w:val="0"/>
          <w:sz w:val="32"/>
          <w:szCs w:val="32"/>
          <w:u w:val="none"/>
          <w:lang w:val="en-US" w:eastAsia="zh-CN" w:bidi="ar"/>
        </w:rPr>
        <w:t>。促进</w:t>
      </w:r>
      <w:r>
        <w:rPr>
          <w:rFonts w:hint="default" w:ascii="Times New Roman" w:hAnsi="Times New Roman" w:eastAsia="仿宋_GB2312" w:cs="Times New Roman"/>
          <w:b w:val="0"/>
          <w:bCs w:val="0"/>
          <w:color w:val="auto"/>
          <w:kern w:val="0"/>
          <w:sz w:val="32"/>
          <w:szCs w:val="32"/>
          <w:u w:val="none"/>
          <w:lang w:val="en-US" w:eastAsia="zh-CN" w:bidi="ar"/>
        </w:rPr>
        <w:t>激发市场末端活力，推动公园、步行街、社区、商业植入多元花卉</w:t>
      </w:r>
      <w:r>
        <w:rPr>
          <w:rFonts w:hint="eastAsia" w:ascii="Times New Roman" w:hAnsi="Times New Roman" w:eastAsia="仿宋_GB2312" w:cs="Times New Roman"/>
          <w:b w:val="0"/>
          <w:bCs w:val="0"/>
          <w:color w:val="auto"/>
          <w:kern w:val="0"/>
          <w:sz w:val="32"/>
          <w:szCs w:val="32"/>
          <w:u w:val="none"/>
          <w:lang w:val="en-US" w:eastAsia="zh-CN" w:bidi="ar"/>
        </w:rPr>
        <w:t>盆景</w:t>
      </w:r>
      <w:r>
        <w:rPr>
          <w:rFonts w:hint="default" w:ascii="Times New Roman" w:hAnsi="Times New Roman" w:eastAsia="仿宋_GB2312" w:cs="Times New Roman"/>
          <w:b w:val="0"/>
          <w:bCs w:val="0"/>
          <w:color w:val="auto"/>
          <w:kern w:val="0"/>
          <w:sz w:val="32"/>
          <w:szCs w:val="32"/>
          <w:u w:val="none"/>
          <w:lang w:val="en-US" w:eastAsia="zh-CN" w:bidi="ar"/>
        </w:rPr>
        <w:t>消费场景，推出赏花旅游精品线路，激活全市</w:t>
      </w:r>
      <w:r>
        <w:rPr>
          <w:rFonts w:hint="eastAsia" w:ascii="Times New Roman" w:hAnsi="Times New Roman" w:eastAsia="仿宋_GB2312" w:cs="Times New Roman"/>
          <w:b w:val="0"/>
          <w:bCs w:val="0"/>
          <w:color w:val="auto"/>
          <w:kern w:val="0"/>
          <w:sz w:val="32"/>
          <w:szCs w:val="32"/>
          <w:u w:val="none"/>
          <w:lang w:val="en-US" w:eastAsia="zh-CN" w:bidi="ar"/>
        </w:rPr>
        <w:t>相关</w:t>
      </w:r>
      <w:r>
        <w:rPr>
          <w:rFonts w:hint="default" w:ascii="Times New Roman" w:hAnsi="Times New Roman" w:eastAsia="仿宋_GB2312" w:cs="Times New Roman"/>
          <w:b w:val="0"/>
          <w:bCs w:val="0"/>
          <w:color w:val="auto"/>
          <w:kern w:val="0"/>
          <w:sz w:val="32"/>
          <w:szCs w:val="32"/>
          <w:u w:val="none"/>
          <w:lang w:val="en-US" w:eastAsia="zh-CN" w:bidi="ar"/>
        </w:rPr>
        <w:t>零售终端，争创拉动</w:t>
      </w:r>
      <w:r>
        <w:rPr>
          <w:rFonts w:hint="eastAsia" w:ascii="Times New Roman" w:hAnsi="Times New Roman" w:eastAsia="仿宋_GB2312" w:cs="Times New Roman"/>
          <w:color w:val="auto"/>
          <w:kern w:val="0"/>
          <w:sz w:val="32"/>
          <w:szCs w:val="32"/>
          <w:u w:val="none"/>
          <w:lang w:val="en-US" w:eastAsia="zh-CN"/>
        </w:rPr>
        <w:t>全市花卉产业</w:t>
      </w:r>
      <w:r>
        <w:rPr>
          <w:rFonts w:hint="default" w:ascii="Times New Roman" w:hAnsi="Times New Roman" w:eastAsia="仿宋_GB2312" w:cs="Times New Roman"/>
          <w:b w:val="0"/>
          <w:bCs w:val="0"/>
          <w:color w:val="auto"/>
          <w:kern w:val="0"/>
          <w:sz w:val="32"/>
          <w:szCs w:val="32"/>
          <w:u w:val="none"/>
          <w:lang w:val="en-US" w:eastAsia="zh-CN" w:bidi="ar"/>
        </w:rPr>
        <w:t>消费及周边衍生消费</w:t>
      </w:r>
      <w:r>
        <w:rPr>
          <w:rFonts w:hint="eastAsia" w:ascii="Times New Roman" w:hAnsi="Times New Roman" w:eastAsia="仿宋_GB2312" w:cs="Times New Roman"/>
          <w:color w:val="auto"/>
          <w:kern w:val="0"/>
          <w:sz w:val="32"/>
          <w:szCs w:val="32"/>
          <w:u w:val="none"/>
          <w:lang w:val="en-US" w:eastAsia="zh-CN"/>
        </w:rPr>
        <w:t>链。</w:t>
      </w:r>
      <w:r>
        <w:rPr>
          <w:rFonts w:hint="default" w:ascii="Times New Roman" w:hAnsi="Times New Roman" w:eastAsia="仿宋_GB2312" w:cs="Times New Roman"/>
          <w:b w:val="0"/>
          <w:bCs w:val="0"/>
          <w:color w:val="auto"/>
          <w:kern w:val="0"/>
          <w:sz w:val="32"/>
          <w:szCs w:val="32"/>
          <w:u w:val="none"/>
          <w:lang w:val="en-US" w:eastAsia="zh-CN" w:bidi="ar"/>
        </w:rPr>
        <w:t>形成业态多元、百花齐放的产业体系</w:t>
      </w:r>
      <w:r>
        <w:rPr>
          <w:rFonts w:hint="eastAsia" w:ascii="Times New Roman" w:hAnsi="Times New Roman" w:eastAsia="仿宋_GB2312" w:cs="Times New Roman"/>
          <w:b w:val="0"/>
          <w:bCs w:val="0"/>
          <w:color w:val="auto"/>
          <w:kern w:val="0"/>
          <w:sz w:val="32"/>
          <w:szCs w:val="32"/>
          <w:u w:val="none"/>
          <w:lang w:val="en-US" w:eastAsia="zh-CN" w:bidi="ar"/>
        </w:rPr>
        <w:t>，</w:t>
      </w:r>
      <w:r>
        <w:rPr>
          <w:rFonts w:hint="default" w:ascii="Times New Roman" w:hAnsi="Times New Roman" w:eastAsia="仿宋_GB2312" w:cs="Times New Roman"/>
          <w:b w:val="0"/>
          <w:bCs w:val="0"/>
          <w:color w:val="auto"/>
          <w:kern w:val="0"/>
          <w:sz w:val="32"/>
          <w:szCs w:val="32"/>
          <w:u w:val="none"/>
          <w:lang w:val="en-US" w:eastAsia="zh-CN" w:bidi="ar"/>
        </w:rPr>
        <w:t>“</w:t>
      </w:r>
      <w:r>
        <w:rPr>
          <w:rFonts w:hint="eastAsia" w:ascii="Times New Roman" w:hAnsi="Times New Roman" w:eastAsia="仿宋_GB2312" w:cs="Times New Roman"/>
          <w:b w:val="0"/>
          <w:bCs w:val="0"/>
          <w:color w:val="auto"/>
          <w:kern w:val="0"/>
          <w:sz w:val="32"/>
          <w:szCs w:val="32"/>
          <w:u w:val="none"/>
          <w:lang w:val="en-US" w:eastAsia="zh-CN" w:bidi="ar"/>
        </w:rPr>
        <w:t>花卉盆景</w:t>
      </w:r>
      <w:r>
        <w:rPr>
          <w:rFonts w:hint="default" w:ascii="Times New Roman" w:hAnsi="Times New Roman" w:eastAsia="仿宋_GB2312" w:cs="Times New Roman"/>
          <w:b w:val="0"/>
          <w:bCs w:val="0"/>
          <w:color w:val="auto"/>
          <w:kern w:val="0"/>
          <w:sz w:val="32"/>
          <w:szCs w:val="32"/>
          <w:u w:val="none"/>
          <w:lang w:val="en-US" w:eastAsia="zh-CN" w:bidi="ar"/>
        </w:rPr>
        <w:t>+商圈”“</w:t>
      </w:r>
      <w:r>
        <w:rPr>
          <w:rFonts w:hint="eastAsia" w:ascii="Times New Roman" w:hAnsi="Times New Roman" w:eastAsia="仿宋_GB2312" w:cs="Times New Roman"/>
          <w:b w:val="0"/>
          <w:bCs w:val="0"/>
          <w:color w:val="auto"/>
          <w:kern w:val="0"/>
          <w:sz w:val="32"/>
          <w:szCs w:val="32"/>
          <w:u w:val="none"/>
          <w:lang w:val="en-US" w:eastAsia="zh-CN" w:bidi="ar"/>
        </w:rPr>
        <w:t>花卉盆景</w:t>
      </w:r>
      <w:r>
        <w:rPr>
          <w:rFonts w:hint="default" w:ascii="Times New Roman" w:hAnsi="Times New Roman" w:eastAsia="仿宋_GB2312" w:cs="Times New Roman"/>
          <w:b w:val="0"/>
          <w:bCs w:val="0"/>
          <w:color w:val="auto"/>
          <w:kern w:val="0"/>
          <w:sz w:val="32"/>
          <w:szCs w:val="32"/>
          <w:u w:val="none"/>
          <w:lang w:val="en-US" w:eastAsia="zh-CN" w:bidi="ar"/>
        </w:rPr>
        <w:t>+惠农”</w:t>
      </w:r>
      <w:r>
        <w:rPr>
          <w:rFonts w:hint="eastAsia" w:ascii="Times New Roman" w:hAnsi="Times New Roman" w:eastAsia="仿宋_GB2312" w:cs="Times New Roman"/>
          <w:b w:val="0"/>
          <w:bCs w:val="0"/>
          <w:color w:val="auto"/>
          <w:kern w:val="0"/>
          <w:sz w:val="32"/>
          <w:szCs w:val="32"/>
          <w:u w:val="none"/>
          <w:lang w:val="en-US" w:eastAsia="zh-CN" w:bidi="ar"/>
        </w:rPr>
        <w:t>工作向纵深推进</w:t>
      </w:r>
      <w:r>
        <w:rPr>
          <w:rFonts w:hint="default" w:ascii="Times New Roman" w:hAnsi="Times New Roman" w:eastAsia="仿宋_GB2312" w:cs="Times New Roman"/>
          <w:b w:val="0"/>
          <w:bCs w:val="0"/>
          <w:color w:val="auto"/>
          <w:kern w:val="0"/>
          <w:sz w:val="32"/>
          <w:szCs w:val="32"/>
          <w:u w:val="none"/>
          <w:lang w:val="en-US" w:eastAsia="zh-CN" w:bidi="ar"/>
        </w:rPr>
        <w:t>。</w:t>
      </w:r>
    </w:p>
    <w:p w14:paraId="2C852F6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b/>
          <w:bCs/>
          <w:sz w:val="32"/>
          <w:szCs w:val="32"/>
          <w:u w:val="none"/>
          <w:lang w:val="en-US" w:eastAsia="zh-CN"/>
        </w:rPr>
        <w:t>赋能</w:t>
      </w:r>
      <w:r>
        <w:rPr>
          <w:rFonts w:hint="default" w:ascii="Times New Roman" w:hAnsi="Times New Roman" w:eastAsia="仿宋_GB2312" w:cs="Times New Roman"/>
          <w:b/>
          <w:bCs/>
          <w:sz w:val="32"/>
          <w:szCs w:val="32"/>
          <w:u w:val="none"/>
          <w:lang w:val="en-US" w:eastAsia="zh-CN"/>
        </w:rPr>
        <w:t>“全域联动”游园雅集。</w:t>
      </w:r>
      <w:r>
        <w:rPr>
          <w:rFonts w:hint="eastAsia" w:ascii="Times New Roman" w:hAnsi="Times New Roman" w:eastAsia="仿宋_GB2312" w:cs="Times New Roman"/>
          <w:color w:val="auto"/>
          <w:sz w:val="32"/>
          <w:szCs w:val="32"/>
          <w:highlight w:val="none"/>
          <w:u w:val="none"/>
          <w:lang w:val="en-US" w:eastAsia="zh-CN"/>
        </w:rPr>
        <w:t>拓展园林展示的时间、空间纵深。延长开放时间，推动市属园林景区在节假日延迟闭园时间，提升“拙政问雅”“网师园夜花园”经典夜游品质，丰富虎丘山夜游、怡园夜游特色内容。</w:t>
      </w:r>
      <w:r>
        <w:rPr>
          <w:rFonts w:hint="default" w:ascii="Times New Roman" w:hAnsi="Times New Roman" w:eastAsia="仿宋_GB2312" w:cs="Times New Roman"/>
          <w:kern w:val="2"/>
          <w:sz w:val="32"/>
          <w:szCs w:val="32"/>
          <w:u w:val="none"/>
          <w:lang w:val="en-US" w:eastAsia="zh-CN" w:bidi="ar-SA"/>
        </w:rPr>
        <w:t>打破空间壁垒，</w:t>
      </w:r>
      <w:r>
        <w:rPr>
          <w:rFonts w:hint="eastAsia" w:ascii="Times New Roman" w:hAnsi="Times New Roman" w:eastAsia="仿宋_GB2312" w:cs="Times New Roman"/>
          <w:color w:val="auto"/>
          <w:sz w:val="32"/>
          <w:szCs w:val="32"/>
          <w:highlight w:val="none"/>
          <w:u w:val="none"/>
          <w:lang w:val="en-US" w:eastAsia="zh-CN"/>
        </w:rPr>
        <w:t>串联全域园林资源，</w:t>
      </w:r>
      <w:r>
        <w:rPr>
          <w:rFonts w:hint="default" w:ascii="Times New Roman" w:hAnsi="Times New Roman" w:eastAsia="仿宋_GB2312" w:cs="Times New Roman"/>
          <w:kern w:val="2"/>
          <w:sz w:val="32"/>
          <w:szCs w:val="32"/>
          <w:u w:val="none"/>
          <w:lang w:val="en-US" w:eastAsia="zh-CN" w:bidi="ar-SA"/>
        </w:rPr>
        <w:t>融合园林赏景、助农惠民、花卉展览</w:t>
      </w:r>
      <w:r>
        <w:rPr>
          <w:rFonts w:hint="eastAsia" w:ascii="Times New Roman" w:hAnsi="Times New Roman" w:eastAsia="仿宋_GB2312" w:cs="Times New Roman"/>
          <w:kern w:val="2"/>
          <w:sz w:val="32"/>
          <w:szCs w:val="32"/>
          <w:u w:val="none"/>
          <w:lang w:val="en-US" w:eastAsia="zh-CN" w:bidi="ar-SA"/>
        </w:rPr>
        <w:t>等内容，</w:t>
      </w:r>
      <w:r>
        <w:rPr>
          <w:rFonts w:hint="default" w:ascii="Times New Roman" w:hAnsi="Times New Roman" w:eastAsia="仿宋_GB2312" w:cs="Times New Roman"/>
          <w:kern w:val="2"/>
          <w:sz w:val="32"/>
          <w:szCs w:val="32"/>
          <w:u w:val="none"/>
          <w:lang w:val="en-US" w:eastAsia="zh-CN" w:bidi="ar-SA"/>
        </w:rPr>
        <w:t>围绕时令、节日统筹实现“</w:t>
      </w:r>
      <w:r>
        <w:rPr>
          <w:rFonts w:hint="eastAsia" w:ascii="Times New Roman" w:hAnsi="Times New Roman" w:eastAsia="仿宋_GB2312" w:cs="Times New Roman"/>
          <w:kern w:val="2"/>
          <w:sz w:val="32"/>
          <w:szCs w:val="32"/>
          <w:u w:val="none"/>
          <w:lang w:val="en-US" w:eastAsia="zh-CN" w:bidi="ar-SA"/>
        </w:rPr>
        <w:t>观、赏、游</w:t>
      </w:r>
      <w:r>
        <w:rPr>
          <w:rFonts w:hint="default" w:ascii="Times New Roman" w:hAnsi="Times New Roman" w:eastAsia="仿宋_GB2312" w:cs="Times New Roman"/>
          <w:kern w:val="2"/>
          <w:sz w:val="32"/>
          <w:szCs w:val="32"/>
          <w:u w:val="none"/>
          <w:lang w:val="en-US" w:eastAsia="zh-CN" w:bidi="ar-SA"/>
        </w:rPr>
        <w:t>”深度融合，</w:t>
      </w:r>
      <w:r>
        <w:rPr>
          <w:rFonts w:hint="eastAsia" w:ascii="Times New Roman" w:hAnsi="Times New Roman" w:eastAsia="仿宋_GB2312" w:cs="Times New Roman"/>
          <w:color w:val="auto"/>
          <w:sz w:val="32"/>
          <w:szCs w:val="32"/>
          <w:highlight w:val="none"/>
          <w:u w:val="none"/>
          <w:lang w:val="en-US" w:eastAsia="zh-CN"/>
        </w:rPr>
        <w:t>吸引市民游客深度参与。</w:t>
      </w:r>
      <w:r>
        <w:rPr>
          <w:rFonts w:hint="default" w:ascii="Times New Roman" w:hAnsi="Times New Roman" w:eastAsia="仿宋_GB2312" w:cs="Times New Roman"/>
          <w:kern w:val="2"/>
          <w:sz w:val="32"/>
          <w:szCs w:val="32"/>
          <w:u w:val="none"/>
          <w:lang w:val="en-US" w:eastAsia="zh-CN" w:bidi="ar-SA"/>
        </w:rPr>
        <w:t>推出联票、集章等</w:t>
      </w:r>
      <w:r>
        <w:rPr>
          <w:rFonts w:hint="eastAsia" w:ascii="Times New Roman" w:hAnsi="Times New Roman" w:eastAsia="仿宋_GB2312" w:cs="Times New Roman"/>
          <w:kern w:val="2"/>
          <w:sz w:val="32"/>
          <w:szCs w:val="32"/>
          <w:u w:val="none"/>
          <w:lang w:val="en-US" w:eastAsia="zh-CN" w:bidi="ar-SA"/>
        </w:rPr>
        <w:t>联动手段</w:t>
      </w:r>
      <w:r>
        <w:rPr>
          <w:rFonts w:hint="default" w:ascii="Times New Roman" w:hAnsi="Times New Roman" w:eastAsia="仿宋_GB2312" w:cs="Times New Roman"/>
          <w:kern w:val="2"/>
          <w:sz w:val="32"/>
          <w:szCs w:val="32"/>
          <w:u w:val="none"/>
          <w:lang w:val="en-US" w:eastAsia="zh-CN" w:bidi="ar-SA"/>
        </w:rPr>
        <w:t>，引导市民游客走进更多园林，变“客流”为“客留”，</w:t>
      </w:r>
      <w:r>
        <w:rPr>
          <w:rFonts w:hint="eastAsia" w:ascii="Times New Roman" w:hAnsi="Times New Roman" w:eastAsia="仿宋_GB2312" w:cs="Times New Roman"/>
          <w:kern w:val="2"/>
          <w:sz w:val="32"/>
          <w:szCs w:val="32"/>
          <w:u w:val="none"/>
          <w:lang w:val="en-US" w:eastAsia="zh-CN" w:bidi="ar-SA"/>
        </w:rPr>
        <w:t>辐射周边，</w:t>
      </w:r>
      <w:r>
        <w:rPr>
          <w:rFonts w:hint="default" w:ascii="Times New Roman" w:hAnsi="Times New Roman" w:eastAsia="仿宋_GB2312" w:cs="Times New Roman"/>
          <w:kern w:val="2"/>
          <w:sz w:val="32"/>
          <w:szCs w:val="32"/>
          <w:u w:val="none"/>
          <w:lang w:val="en-US" w:eastAsia="zh-CN" w:bidi="ar-SA"/>
        </w:rPr>
        <w:t>实现从“单点出彩”到“全域开花”</w:t>
      </w:r>
      <w:r>
        <w:rPr>
          <w:rFonts w:hint="eastAsia" w:ascii="Times New Roman" w:hAnsi="Times New Roman" w:eastAsia="仿宋_GB2312" w:cs="Times New Roman"/>
          <w:kern w:val="2"/>
          <w:sz w:val="32"/>
          <w:szCs w:val="32"/>
          <w:u w:val="none"/>
          <w:lang w:val="en-US" w:eastAsia="zh-CN" w:bidi="ar-SA"/>
        </w:rPr>
        <w:t>，辐射</w:t>
      </w:r>
      <w:r>
        <w:rPr>
          <w:rFonts w:hint="eastAsia" w:ascii="Times New Roman" w:hAnsi="Times New Roman" w:eastAsia="仿宋_GB2312" w:cs="Times New Roman"/>
          <w:color w:val="auto"/>
          <w:sz w:val="32"/>
          <w:szCs w:val="32"/>
          <w:highlight w:val="none"/>
          <w:u w:val="none"/>
          <w:lang w:val="en-US" w:eastAsia="zh-CN"/>
        </w:rPr>
        <w:t>民宿、餐饮、交通等相关产业，助力区域消费升级。让园林文化资源切实转化为经济发展动能，实现园林美、产业兴、百姓富的良性循环。</w:t>
      </w:r>
    </w:p>
    <w:p w14:paraId="4294972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bCs/>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发展林业新质生产力。</w:t>
      </w:r>
      <w:r>
        <w:rPr>
          <w:rFonts w:hint="eastAsia" w:ascii="仿宋_GB2312" w:hAnsi="仿宋_GB2312" w:eastAsia="仿宋_GB2312" w:cs="仿宋_GB2312"/>
          <w:b/>
          <w:bCs/>
          <w:sz w:val="32"/>
          <w:szCs w:val="32"/>
          <w:u w:val="none"/>
          <w:lang w:val="en-US" w:eastAsia="zh-CN"/>
        </w:rPr>
        <w:t>一是</w:t>
      </w:r>
      <w:r>
        <w:rPr>
          <w:rFonts w:hint="eastAsia" w:ascii="仿宋_GB2312" w:hAnsi="仿宋_GB2312" w:eastAsia="仿宋_GB2312" w:cs="仿宋_GB2312"/>
          <w:sz w:val="32"/>
          <w:szCs w:val="32"/>
          <w:u w:val="none"/>
          <w:lang w:val="en-US" w:eastAsia="zh-CN"/>
        </w:rPr>
        <w:t>全面推深做实林长制，形成责任体系完备、运行规范有力、制度高效集成、基层基础坚实的林长制工作格局。深化集体林权制度改革，深入推进集体林权制度改革，创新林业生产经营方式，大力发展林草种苗、林下经济、森林旅游、森林康养、科普研学等产业，充分发挥森林生态产品在供给服务、调节服务、文化服务等方面的价值，推动以森林为基本表征的良好生态环境向现代化经济体系核心生产要素转化，助力产业生态化、生态产业化。推进森林可持续经营，开展全市森林经营方案修订工作，推动建立以森林经营方案为核心的森林可持续经营决策机制。以国有林场为重点，科学选择有代表性的实施区域，建立森林质量提升示范样板，多措并举开展中幼林抚育、低效林改造和退化林修复等，调整优化树种结构，促进珍贵树种和大径材林培育，精准提升森林质量，构建健康稳定的森林群落，提高森林蓄积量、碳储量和生态服务功能，为碳达峰、碳中和战略等提供科学依据。</w:t>
      </w:r>
    </w:p>
    <w:p w14:paraId="3533FFA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构建园·林全产业链生态体系。</w:t>
      </w:r>
      <w:r>
        <w:rPr>
          <w:rFonts w:hint="eastAsia" w:ascii="仿宋_GB2312" w:hAnsi="仿宋_GB2312" w:eastAsia="仿宋_GB2312" w:cs="仿宋_GB2312"/>
          <w:sz w:val="32"/>
          <w:szCs w:val="32"/>
          <w:u w:val="none"/>
          <w:lang w:val="en-US" w:eastAsia="zh-CN"/>
        </w:rPr>
        <w:t>拓展“园林+林业”生态产品价值实现路径。大力发展林草苗木、林下经济等传统林业产业。充分发挥我市风景名胜区、森林公园、湿地公园等生态和苏州园林文化资源优势，持续开展郊野公园、森林步道建设，谋划推进“苏州风景路”户外步道路线串联互通，推出“森林探索”“上方山自然王国”等自然教育产品，打造“连生态、连生活、连生趣”的“平山远水”生态空间格局，构建总量适宜、布局合理、类型丰富的生态旅游体系。</w:t>
      </w:r>
    </w:p>
    <w:p w14:paraId="357FFC4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楷体_GB2312" w:hAnsi="楷体_GB2312" w:eastAsia="楷体_GB2312" w:cs="楷体_GB2312"/>
          <w:sz w:val="32"/>
          <w:szCs w:val="32"/>
          <w:u w:val="none"/>
          <w:lang w:val="en-US" w:eastAsia="zh-CN"/>
        </w:rPr>
      </w:pPr>
      <w:r>
        <w:rPr>
          <w:rFonts w:hint="eastAsia" w:ascii="楷体_GB2312" w:hAnsi="楷体_GB2312" w:eastAsia="楷体_GB2312" w:cs="楷体_GB2312"/>
          <w:sz w:val="32"/>
          <w:szCs w:val="32"/>
          <w:u w:val="none"/>
          <w:lang w:val="en-US" w:eastAsia="zh-CN"/>
        </w:rPr>
        <w:t>第五节  智慧化园·林</w:t>
      </w:r>
    </w:p>
    <w:p w14:paraId="10986A7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更新园林保护推广模式。</w:t>
      </w:r>
      <w:r>
        <w:rPr>
          <w:rFonts w:hint="default" w:ascii="仿宋_GB2312" w:hAnsi="仿宋_GB2312" w:eastAsia="仿宋_GB2312" w:cs="仿宋_GB2312"/>
          <w:sz w:val="32"/>
          <w:szCs w:val="32"/>
          <w:u w:val="none"/>
          <w:lang w:val="en-US" w:eastAsia="zh-CN"/>
        </w:rPr>
        <w:t>着力构建以“数字孪生”为核心的智慧园林体系。通过综合运用先进技术对园林要素进行高保真数字化建档，形成精准的“数字孪生”模型，并部署传感器网络实时监测结构安全与环境变化，推动遗产保护从被动抢救向主动预防转变。同时，整合票务、安防、环境、设施等各系统数据，打造一体化数字孪生管理平台，实现对运营状态的实时监测与可视化分析，为客流调控、资源调配与应急管理提供科学决策支持，提升管理精细化与协同效率。面向游客服务，构建集信息查询、智能预约、多语言导览、互动体验与反馈于一体的智慧平台</w:t>
      </w:r>
      <w:r>
        <w:rPr>
          <w:rFonts w:hint="eastAsia" w:ascii="仿宋_GB2312" w:hAnsi="仿宋_GB2312" w:eastAsia="仿宋_GB2312" w:cs="仿宋_GB2312"/>
          <w:sz w:val="32"/>
          <w:szCs w:val="32"/>
          <w:u w:val="none"/>
          <w:lang w:val="en-US" w:eastAsia="zh-CN"/>
        </w:rPr>
        <w:t>。</w:t>
      </w:r>
      <w:r>
        <w:rPr>
          <w:rFonts w:hint="default" w:ascii="仿宋_GB2312" w:hAnsi="仿宋_GB2312" w:eastAsia="仿宋_GB2312" w:cs="仿宋_GB2312"/>
          <w:sz w:val="32"/>
          <w:szCs w:val="32"/>
          <w:u w:val="none"/>
          <w:lang w:val="en-US" w:eastAsia="zh-CN"/>
        </w:rPr>
        <w:t>积极探索AI智能导游、AI沉浸体验、智慧园林管理等创新应用，推动产业向品质化、智能化、绿色化转型。</w:t>
      </w:r>
    </w:p>
    <w:p w14:paraId="4F76B44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完善绿化精管精治体系。</w:t>
      </w:r>
      <w:r>
        <w:rPr>
          <w:rFonts w:hint="eastAsia" w:ascii="仿宋_GB2312" w:hAnsi="仿宋_GB2312" w:eastAsia="仿宋_GB2312" w:cs="仿宋_GB2312"/>
          <w:sz w:val="32"/>
          <w:szCs w:val="32"/>
          <w:u w:val="none"/>
          <w:lang w:val="en-US" w:eastAsia="zh-CN"/>
        </w:rPr>
        <w:t>积极参与长三角城市群生态共保联治，推动绿地系统互联互通，共建区域生态廊道。学习借鉴先进城市经验，在标准制定、技术交流、人才培养等方面深化合作。要加强精细化管理，推动建立智慧园林管理系统，运用物联网、大数据等技术实现绿化资源动态监测、病虫害智能预警、养护任务智能派发，不断提高监管水平。深化城市绿化体检，实施动态监管，依法查处违法占绿毁绿行为，做好城市树木修剪、补绿补缺、病虫害防治等日常养护工作。</w:t>
      </w:r>
    </w:p>
    <w:p w14:paraId="20D8C06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highlight w:val="none"/>
          <w:u w:val="none"/>
          <w:lang w:val="en-US" w:eastAsia="zh-CN"/>
        </w:rPr>
        <w:t>赋能林业湿地全域管理。</w:t>
      </w:r>
      <w:r>
        <w:rPr>
          <w:rFonts w:hint="eastAsia" w:ascii="仿宋_GB2312" w:hAnsi="仿宋_GB2312" w:eastAsia="仿宋_GB2312" w:cs="仿宋_GB2312"/>
          <w:sz w:val="32"/>
          <w:szCs w:val="32"/>
          <w:u w:val="none"/>
          <w:lang w:val="en-US" w:eastAsia="zh-CN"/>
        </w:rPr>
        <w:t>持续做好林草生态综合监测。根据国家和省级反馈普查结果，形成全市林业资源本底“一张图”，进一步明确重要指标。在全市林草湿调查监测框架内，积极运用AI解译、高分影像、雷达感知等技术手段，进一步健全全省森林资源动态监测体系，有力支撑我市森林资源保护发展工作。同时，健全运行林草湿调查监测与国土变更协同推进、联动更新机制，形成统一地类认定规则，确保两项工作成果地块数据持续保持一致。打造智慧化湿地监测网络，整合湿地水环境、鸟类多样性、视频、遥感等信息，汇入一体化的湿地数据集成共享中心；以数据为支撑，打造湿地水环境监测模块、生物多样性模块、视频监测模块、公共服务模块，实现苏州湿地的可视化管理，完成苏州湿地全方位、高质量、高效率监测，评估与可视化苏州市湿地健康状况。续建太湖湿地国家定位观测站，在全市布局水质监测区和生物多样性监测区。持续为湿地健康状况把脉，定期发布湿地健康报告，为解决苏州湿地的健康问题提供定制化解决方案，让市民共享湿地带来的健康环境与生态福祉。</w:t>
      </w:r>
    </w:p>
    <w:p w14:paraId="6E79E3B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Chars="0" w:firstLine="643" w:firstLineChars="200"/>
        <w:jc w:val="both"/>
        <w:textAlignment w:val="auto"/>
        <w:rPr>
          <w:rFonts w:hint="eastAsia" w:ascii="黑体" w:hAnsi="黑体" w:eastAsia="黑体" w:cs="黑体"/>
          <w:sz w:val="36"/>
          <w:szCs w:val="36"/>
          <w:u w:val="none"/>
          <w:lang w:val="en-US" w:eastAsia="zh-CN"/>
        </w:rPr>
      </w:pPr>
      <w:r>
        <w:rPr>
          <w:rFonts w:hint="eastAsia" w:ascii="仿宋_GB2312" w:hAnsi="仿宋_GB2312" w:eastAsia="仿宋_GB2312" w:cs="仿宋_GB2312"/>
          <w:b/>
          <w:bCs/>
          <w:sz w:val="32"/>
          <w:szCs w:val="32"/>
          <w:highlight w:val="none"/>
          <w:u w:val="none"/>
          <w:lang w:val="en-US" w:eastAsia="zh-CN"/>
        </w:rPr>
        <w:t>创建数字化业态品牌。</w:t>
      </w:r>
      <w:r>
        <w:rPr>
          <w:rFonts w:hint="eastAsia" w:ascii="仿宋_GB2312" w:hAnsi="仿宋_GB2312" w:eastAsia="仿宋_GB2312" w:cs="仿宋_GB2312"/>
          <w:sz w:val="32"/>
          <w:szCs w:val="32"/>
          <w:u w:val="none"/>
          <w:lang w:val="en-US" w:eastAsia="zh-CN"/>
        </w:rPr>
        <w:t>文旅融合是苏州园林产业扩容的关键路径，需以数字技术为桥梁，链接传统文化与当代消费需求。通过系统化的品牌叙事、数字化的沉浸体验与文旅融合的业态创新，将分散的园林明珠串联成链，形成强大的文化聚合效应与品牌叠加优势，显著提升游客的重游率与消费黏性。在线下场景中，通过策划园林实景戏剧、四季花境主题游线等活动，将静态园林转化为可互动的生活空间。在线上领域，借助短视频、直播带货等模式推广盆景艺术、园林文化课程，实现“线下体验+线上变现”的闭环。抢抓数字经济机遇，深入挖掘苏式美学价值，大力发展园艺新业态，鼓励属地政府发展电商经济。</w:t>
      </w:r>
    </w:p>
    <w:p w14:paraId="13B2140E">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80" w:lineRule="exact"/>
        <w:jc w:val="center"/>
        <w:textAlignment w:val="auto"/>
        <w:rPr>
          <w:rFonts w:hint="eastAsia" w:ascii="黑体" w:hAnsi="黑体" w:eastAsia="黑体" w:cs="黑体"/>
          <w:sz w:val="36"/>
          <w:szCs w:val="36"/>
          <w:u w:val="none"/>
          <w:lang w:val="en-US" w:eastAsia="zh-CN"/>
        </w:rPr>
      </w:pPr>
      <w:r>
        <w:rPr>
          <w:rFonts w:hint="eastAsia" w:ascii="黑体" w:hAnsi="黑体" w:eastAsia="黑体" w:cs="黑体"/>
          <w:sz w:val="36"/>
          <w:szCs w:val="36"/>
          <w:u w:val="none"/>
          <w:lang w:val="en-US" w:eastAsia="zh-CN"/>
        </w:rPr>
        <w:t xml:space="preserve">第四章 </w:t>
      </w:r>
      <w:bookmarkStart w:id="1" w:name="_GoBack"/>
      <w:bookmarkEnd w:id="1"/>
      <w:r>
        <w:rPr>
          <w:rFonts w:hint="eastAsia" w:ascii="黑体" w:hAnsi="黑体" w:eastAsia="黑体" w:cs="黑体"/>
          <w:sz w:val="36"/>
          <w:szCs w:val="36"/>
          <w:u w:val="none"/>
          <w:lang w:val="en-US" w:eastAsia="zh-CN"/>
        </w:rPr>
        <w:t>“十五五”实施保障</w:t>
      </w:r>
    </w:p>
    <w:p w14:paraId="0E4946A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一是加强组织领导。</w:t>
      </w:r>
      <w:r>
        <w:rPr>
          <w:rFonts w:hint="eastAsia" w:ascii="仿宋_GB2312" w:hAnsi="仿宋_GB2312" w:eastAsia="仿宋_GB2312" w:cs="仿宋_GB2312"/>
          <w:b w:val="0"/>
          <w:bCs w:val="0"/>
          <w:sz w:val="32"/>
          <w:szCs w:val="32"/>
          <w:u w:val="none"/>
          <w:lang w:val="en-US" w:eastAsia="zh-CN"/>
        </w:rPr>
        <w:t>坚持和加强党对园林绿化工作的全面领导，将党的政治优势和组织优势转化为事业发展优势。着力健全权责清晰、统筹有力、高效运转的工作组织体系，优化跨部门协同机制，确保各项任务部署一抓到底、执行到位。加快构建系统完备、科学规范、运行有效的法规制度与标准体系，重点完善遗产保护、绿化管理、林业湿地监管、自然保护地监管等领域标准规范。凝聚多元力量，鼓励公众参与，形成上下联动、部门协同、齐抓共管的治理格局。通过强化组织领导、健全制度保障、汇聚资源合力，切实把规划蓝图转化为实践成果，确保中央及各级关于园林绿化的决策部署全面、精准、高效落地，推动园林绿化事业实现更高质量、更可持续的发展。</w:t>
      </w:r>
    </w:p>
    <w:p w14:paraId="3FFFBF3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二是建设人才队伍。</w:t>
      </w:r>
      <w:r>
        <w:rPr>
          <w:rFonts w:hint="eastAsia" w:ascii="仿宋_GB2312" w:hAnsi="仿宋_GB2312" w:eastAsia="仿宋_GB2312" w:cs="仿宋_GB2312"/>
          <w:sz w:val="32"/>
          <w:szCs w:val="32"/>
          <w:u w:val="none"/>
          <w:lang w:val="en-US" w:eastAsia="zh-CN"/>
        </w:rPr>
        <w:t>坚持人才优先发展战略，统筹管理人才与专业技术人才双轨并进，加快专技梯队建设，培养兼具理论素养与实践创新的知识型、研究型骨干。引进和培养高学历高素质讲解人才，全面提高讲解服务在园林艺术、历史文化等各方面的知识储备。实施“园林工匠”培育计划，通过资深匠师与青年技术骨干结对的师徒传承模式，结合持续性的专业培训、现场教学与项目实践，实现技艺在“传帮带”中的活态延续，建立起稳定高效的人才梯队与知识传递体系。完善专技人才库管理，按“近期可用、中期培强、长期育优”梯度，树立实干实绩导向，畅通成长通道，强化选育管用全流程跟踪，激励担当作为。统筹双轨制路径，以师带徒、以赛促训、以评树优，打造技艺精湛、结构合理的专技队伍，为园林绿化高质量发展提供坚实人才支撑。</w:t>
      </w:r>
    </w:p>
    <w:p w14:paraId="74D4E07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楷体_GB2312" w:hAnsi="楷体_GB2312" w:eastAsia="楷体_GB2312" w:cs="楷体_GB2312"/>
          <w:sz w:val="32"/>
          <w:szCs w:val="32"/>
          <w:u w:val="none"/>
          <w:lang w:val="en-US" w:eastAsia="zh-CN"/>
        </w:rPr>
      </w:pPr>
      <w:r>
        <w:rPr>
          <w:rFonts w:hint="eastAsia" w:ascii="仿宋_GB2312" w:hAnsi="仿宋_GB2312" w:eastAsia="仿宋_GB2312" w:cs="仿宋_GB2312"/>
          <w:b/>
          <w:bCs/>
          <w:sz w:val="32"/>
          <w:szCs w:val="32"/>
          <w:u w:val="none"/>
          <w:lang w:val="en-US" w:eastAsia="zh-CN"/>
        </w:rPr>
        <w:t>三是加大宣传引导。</w:t>
      </w:r>
      <w:r>
        <w:rPr>
          <w:rFonts w:hint="eastAsia" w:ascii="仿宋_GB2312" w:hAnsi="仿宋_GB2312" w:eastAsia="仿宋_GB2312" w:cs="仿宋_GB2312"/>
          <w:sz w:val="32"/>
          <w:szCs w:val="32"/>
          <w:u w:val="none"/>
          <w:lang w:val="en-US" w:eastAsia="zh-CN"/>
        </w:rPr>
        <w:t>综合运用线上线下多元渠道，注重专业性、可读性与可视性相结合。通过制作专题纪录片、数字化沉浸展示、图文解读及互动体验活动，系统呈现其历史价值与保护技艺；同时搭建行业交流平台，总结推广科学保护与创新管理经验，促进各地互学互鉴，协同应对保护传承中的共性难题与个性挑战。在城市绿化提质优化方面，应依托广播、电视、报刊、网络及新媒体矩阵，精心策划系列专题宣传活动，广泛解读口袋公园、活力绿地、无界公园等建设理念与实践成效，提升公众对绿化工作的认知与认同，引导群众关心、支持并参与城市绿化，凝聚社会共识，营造共建共治共享的良好氛围，推动园林遗产永续传承与城市人居环境持续提升。</w:t>
      </w:r>
    </w:p>
    <w:p w14:paraId="3045289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四是提升安全防护</w:t>
      </w:r>
      <w:r>
        <w:rPr>
          <w:rFonts w:hint="eastAsia" w:ascii="仿宋_GB2312" w:hAnsi="仿宋_GB2312" w:eastAsia="仿宋_GB2312" w:cs="仿宋_GB2312"/>
          <w:b w:val="0"/>
          <w:bCs w:val="0"/>
          <w:sz w:val="32"/>
          <w:szCs w:val="32"/>
          <w:u w:val="none"/>
          <w:lang w:val="en-US" w:eastAsia="zh-CN"/>
        </w:rPr>
        <w:t>。牢固树立人民至上、生命至上、安全第一理念，坚持预防为主、积极消灭方针。着力建设全韧性防火体系，推进林火阻隔、应急道路、引水上山标准化，构建智能化监测预警与指挥平台；锻造专业化现代化防火队伍，强化实战演练，提升协同作战与快速响应能力；开展全民防火动员，提升公众自救互救意识，构建群防群治格局。完善信息安全管理制度，明确数据全流程安全责任，制定应急处置预案，升级指挥调度中心并融入AI算法，提升突发处置效能，筑牢“十五五”数据安全防线。突出预防为主，深化直属单位安全生产“六化”建设与治本攻坚三年行动，完善应急预案与负面清单，落实隐患查改督销闭环管理。以“一山一案”为抓手，健全森林防火网格化长效管理机制，细化责任制，夯实人防物防技防基础，强化野外火源管控，加大安全进园林、防火宣传进林区主题宣传，全面提升行业本质安全水平。</w:t>
      </w:r>
    </w:p>
    <w:p w14:paraId="3CFAE49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五是完善法治保障。</w:t>
      </w:r>
      <w:r>
        <w:rPr>
          <w:rFonts w:hint="eastAsia" w:ascii="仿宋_GB2312" w:hAnsi="仿宋_GB2312" w:eastAsia="仿宋_GB2312" w:cs="仿宋_GB2312"/>
          <w:b w:val="0"/>
          <w:bCs w:val="0"/>
          <w:sz w:val="32"/>
          <w:szCs w:val="32"/>
          <w:u w:val="none"/>
          <w:lang w:val="en-US" w:eastAsia="zh-CN"/>
        </w:rPr>
        <w:t>深入贯彻落实《文物保护法》和两办关于加强历史文化保护传承、推进城市更新等文件精神，探索契合上位法规且具苏州特色的保护更新工作机制。推进科学立法，提前谋划立法需求，强化与市人大、司法局协同联动。完善规范性文件动态管理，定期开展合法性审查与清理。强化执法监督，严格落实行政处罚案件法制审核制度，通过年度案卷评查提升办案质量。制定年度监督计划，综合运用专项检查、交叉评查规范执法行为。创新普法宣传，聚焦“关键少数”、行政相对人及社会公众，持续擦亮“法韵园林”品牌。着力优化法治化营商环境，强化公平竞争审查，对涉企政策文件实行全量审查，防止排除、限制竞争。完善内控机制，严格规范采购流程，强化风险防控，确保程序公开透明、合规高效，为园林和绿化事业高质量发展提供坚实法治保障。</w:t>
      </w:r>
    </w:p>
    <w:sectPr>
      <w:footerReference r:id="rId3" w:type="default"/>
      <w:pgSz w:w="11906" w:h="16838"/>
      <w:pgMar w:top="1803" w:right="1440" w:bottom="1803" w:left="1440"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9306F2-3CE4-49AB-8CA3-621652032B6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90844F8B-2D7F-42BF-B002-E61EFCC9F72A}"/>
  </w:font>
  <w:font w:name="楷体_GB2312">
    <w:panose1 w:val="02010609030101010101"/>
    <w:charset w:val="86"/>
    <w:family w:val="auto"/>
    <w:pitch w:val="default"/>
    <w:sig w:usb0="00000001" w:usb1="080E0000" w:usb2="00000000" w:usb3="00000000" w:csb0="00040000" w:csb1="00000000"/>
    <w:embedRegular r:id="rId3" w:fontKey="{DD8375FA-4023-4FFC-94A5-F4460D5AE54D}"/>
  </w:font>
  <w:font w:name="方正小标宋_GBK">
    <w:panose1 w:val="03000509000000000000"/>
    <w:charset w:val="86"/>
    <w:family w:val="auto"/>
    <w:pitch w:val="default"/>
    <w:sig w:usb0="00000001" w:usb1="080E0000" w:usb2="00000000" w:usb3="00000000" w:csb0="00040000" w:csb1="00000000"/>
    <w:embedRegular r:id="rId4" w:fontKey="{8DE2A890-564A-458F-9343-BD44C52F99EF}"/>
  </w:font>
  <w:font w:name="仿宋_GB2312">
    <w:panose1 w:val="02010609030101010101"/>
    <w:charset w:val="86"/>
    <w:family w:val="auto"/>
    <w:pitch w:val="default"/>
    <w:sig w:usb0="00000001" w:usb1="080E0000" w:usb2="00000000" w:usb3="00000000" w:csb0="00040000" w:csb1="00000000"/>
    <w:embedRegular r:id="rId5" w:fontKey="{A3AB0797-306C-470E-A0B9-813E04DC7A0A}"/>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2DF3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8622C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8622C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F8DB1"/>
    <w:multiLevelType w:val="singleLevel"/>
    <w:tmpl w:val="F67F8DB1"/>
    <w:lvl w:ilvl="0" w:tentative="0">
      <w:start w:val="2"/>
      <w:numFmt w:val="chineseCounting"/>
      <w:suff w:val="space"/>
      <w:lvlText w:val="第%1节"/>
      <w:lvlJc w:val="left"/>
      <w:rPr>
        <w:rFonts w:hint="eastAsia"/>
      </w:rPr>
    </w:lvl>
  </w:abstractNum>
  <w:abstractNum w:abstractNumId="1">
    <w:nsid w:val="4D3B19D5"/>
    <w:multiLevelType w:val="singleLevel"/>
    <w:tmpl w:val="4D3B19D5"/>
    <w:lvl w:ilvl="0" w:tentative="0">
      <w:start w:val="4"/>
      <w:numFmt w:val="chineseCounting"/>
      <w:suff w:val="space"/>
      <w:lvlText w:val="第%1节"/>
      <w:lvlJc w:val="left"/>
      <w:rPr>
        <w:rFonts w:hint="eastAsia"/>
      </w:rPr>
    </w:lvl>
  </w:abstractNum>
  <w:abstractNum w:abstractNumId="2">
    <w:nsid w:val="76619750"/>
    <w:multiLevelType w:val="singleLevel"/>
    <w:tmpl w:val="76619750"/>
    <w:lvl w:ilvl="0" w:tentative="0">
      <w:start w:val="1"/>
      <w:numFmt w:val="chineseCounting"/>
      <w:suff w:val="space"/>
      <w:lvlText w:val="第%1章"/>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4543DB"/>
    <w:rsid w:val="0005057E"/>
    <w:rsid w:val="0013583A"/>
    <w:rsid w:val="00147BF7"/>
    <w:rsid w:val="0077164A"/>
    <w:rsid w:val="00AD7338"/>
    <w:rsid w:val="00BE32F3"/>
    <w:rsid w:val="00C44682"/>
    <w:rsid w:val="00D103E8"/>
    <w:rsid w:val="010D6029"/>
    <w:rsid w:val="01284C10"/>
    <w:rsid w:val="01313480"/>
    <w:rsid w:val="013B02DD"/>
    <w:rsid w:val="015152F8"/>
    <w:rsid w:val="01543C57"/>
    <w:rsid w:val="01A45646"/>
    <w:rsid w:val="01D36DDC"/>
    <w:rsid w:val="01D86625"/>
    <w:rsid w:val="01F62564"/>
    <w:rsid w:val="02021905"/>
    <w:rsid w:val="020F65F4"/>
    <w:rsid w:val="023356B3"/>
    <w:rsid w:val="025E5F48"/>
    <w:rsid w:val="02807613"/>
    <w:rsid w:val="02CB619B"/>
    <w:rsid w:val="03280655"/>
    <w:rsid w:val="03824AAC"/>
    <w:rsid w:val="038325D2"/>
    <w:rsid w:val="039D7565"/>
    <w:rsid w:val="03C43189"/>
    <w:rsid w:val="03C90B9D"/>
    <w:rsid w:val="03D2472D"/>
    <w:rsid w:val="03F1578E"/>
    <w:rsid w:val="040E27E3"/>
    <w:rsid w:val="041F679F"/>
    <w:rsid w:val="04253689"/>
    <w:rsid w:val="04536448"/>
    <w:rsid w:val="045759DC"/>
    <w:rsid w:val="04B97A13"/>
    <w:rsid w:val="04BD38C2"/>
    <w:rsid w:val="04C25BCD"/>
    <w:rsid w:val="04CF59E7"/>
    <w:rsid w:val="04DA4474"/>
    <w:rsid w:val="04E0278D"/>
    <w:rsid w:val="04FB6E67"/>
    <w:rsid w:val="05014E32"/>
    <w:rsid w:val="050D41AA"/>
    <w:rsid w:val="052B643D"/>
    <w:rsid w:val="054D10EA"/>
    <w:rsid w:val="0571425F"/>
    <w:rsid w:val="05785EA4"/>
    <w:rsid w:val="05834B0B"/>
    <w:rsid w:val="05980631"/>
    <w:rsid w:val="05B9052D"/>
    <w:rsid w:val="05BA1968"/>
    <w:rsid w:val="05FD2B10"/>
    <w:rsid w:val="063B3638"/>
    <w:rsid w:val="064918B1"/>
    <w:rsid w:val="069D1BFD"/>
    <w:rsid w:val="06B95FCF"/>
    <w:rsid w:val="06D53145"/>
    <w:rsid w:val="06FD1E9C"/>
    <w:rsid w:val="071F22DC"/>
    <w:rsid w:val="07351E35"/>
    <w:rsid w:val="074B16C1"/>
    <w:rsid w:val="07523810"/>
    <w:rsid w:val="07630415"/>
    <w:rsid w:val="078E0AF3"/>
    <w:rsid w:val="079A2C82"/>
    <w:rsid w:val="07A31495"/>
    <w:rsid w:val="07B51763"/>
    <w:rsid w:val="07C84A57"/>
    <w:rsid w:val="07E92CB3"/>
    <w:rsid w:val="07F25F78"/>
    <w:rsid w:val="07F814B3"/>
    <w:rsid w:val="08233672"/>
    <w:rsid w:val="082645E6"/>
    <w:rsid w:val="085207C5"/>
    <w:rsid w:val="088833CA"/>
    <w:rsid w:val="08BF5E2C"/>
    <w:rsid w:val="08C2594B"/>
    <w:rsid w:val="09137F54"/>
    <w:rsid w:val="094B5940"/>
    <w:rsid w:val="0970184A"/>
    <w:rsid w:val="097569B1"/>
    <w:rsid w:val="098F629B"/>
    <w:rsid w:val="0993154A"/>
    <w:rsid w:val="09AF5ECF"/>
    <w:rsid w:val="09D02752"/>
    <w:rsid w:val="0A0D7099"/>
    <w:rsid w:val="0A387A11"/>
    <w:rsid w:val="0A40746F"/>
    <w:rsid w:val="0A5D3B7D"/>
    <w:rsid w:val="0A650C83"/>
    <w:rsid w:val="0A7149A0"/>
    <w:rsid w:val="0A7740AC"/>
    <w:rsid w:val="0A9652E1"/>
    <w:rsid w:val="0AA572D2"/>
    <w:rsid w:val="0AB17A25"/>
    <w:rsid w:val="0AB371D8"/>
    <w:rsid w:val="0AC4770A"/>
    <w:rsid w:val="0B000E21"/>
    <w:rsid w:val="0B0D7A96"/>
    <w:rsid w:val="0B9E2C28"/>
    <w:rsid w:val="0BB42BA5"/>
    <w:rsid w:val="0BBE4AEF"/>
    <w:rsid w:val="0BD762D6"/>
    <w:rsid w:val="0BFC7CB5"/>
    <w:rsid w:val="0C0544CC"/>
    <w:rsid w:val="0C290818"/>
    <w:rsid w:val="0C360504"/>
    <w:rsid w:val="0C59626A"/>
    <w:rsid w:val="0C721436"/>
    <w:rsid w:val="0C7B6739"/>
    <w:rsid w:val="0C7C44D2"/>
    <w:rsid w:val="0CC9773B"/>
    <w:rsid w:val="0CFA741C"/>
    <w:rsid w:val="0D054058"/>
    <w:rsid w:val="0D1E06D6"/>
    <w:rsid w:val="0D246BD4"/>
    <w:rsid w:val="0D4E2DB9"/>
    <w:rsid w:val="0D7116ED"/>
    <w:rsid w:val="0D7E7B62"/>
    <w:rsid w:val="0D921D8F"/>
    <w:rsid w:val="0DBD4932"/>
    <w:rsid w:val="0EA93835"/>
    <w:rsid w:val="0EAF6971"/>
    <w:rsid w:val="0EDD769C"/>
    <w:rsid w:val="0EE91E83"/>
    <w:rsid w:val="0EF425D6"/>
    <w:rsid w:val="0EF54495"/>
    <w:rsid w:val="0F097943"/>
    <w:rsid w:val="0F2A24A8"/>
    <w:rsid w:val="0F607C6B"/>
    <w:rsid w:val="0F661BBA"/>
    <w:rsid w:val="0F791384"/>
    <w:rsid w:val="0F847DFE"/>
    <w:rsid w:val="0F8A5C1E"/>
    <w:rsid w:val="0F8B2F3A"/>
    <w:rsid w:val="0F8B6CA6"/>
    <w:rsid w:val="0FAB7138"/>
    <w:rsid w:val="10060D14"/>
    <w:rsid w:val="100F3B6B"/>
    <w:rsid w:val="102A2753"/>
    <w:rsid w:val="10466E61"/>
    <w:rsid w:val="107E3021"/>
    <w:rsid w:val="109202F8"/>
    <w:rsid w:val="10C46F52"/>
    <w:rsid w:val="10EF12A7"/>
    <w:rsid w:val="10F93ED3"/>
    <w:rsid w:val="111D4066"/>
    <w:rsid w:val="112C5D04"/>
    <w:rsid w:val="113969C6"/>
    <w:rsid w:val="115C56BC"/>
    <w:rsid w:val="11662C63"/>
    <w:rsid w:val="11BD13A5"/>
    <w:rsid w:val="11BF336F"/>
    <w:rsid w:val="11CE72AB"/>
    <w:rsid w:val="11D32B00"/>
    <w:rsid w:val="11D84431"/>
    <w:rsid w:val="11DD1A47"/>
    <w:rsid w:val="11DD2FF0"/>
    <w:rsid w:val="11FE3E97"/>
    <w:rsid w:val="122740D0"/>
    <w:rsid w:val="12296A3A"/>
    <w:rsid w:val="122A4245"/>
    <w:rsid w:val="123200E9"/>
    <w:rsid w:val="123352E5"/>
    <w:rsid w:val="12437AFC"/>
    <w:rsid w:val="128D6FC9"/>
    <w:rsid w:val="129F19CF"/>
    <w:rsid w:val="12AF11EE"/>
    <w:rsid w:val="12BD4102"/>
    <w:rsid w:val="12C71417"/>
    <w:rsid w:val="131C5CC6"/>
    <w:rsid w:val="131E2317"/>
    <w:rsid w:val="13306EC2"/>
    <w:rsid w:val="13322631"/>
    <w:rsid w:val="134248EF"/>
    <w:rsid w:val="13455ECD"/>
    <w:rsid w:val="13586C56"/>
    <w:rsid w:val="13607D7E"/>
    <w:rsid w:val="13792B9B"/>
    <w:rsid w:val="1393490E"/>
    <w:rsid w:val="13A7230D"/>
    <w:rsid w:val="13BF6366"/>
    <w:rsid w:val="13C27095"/>
    <w:rsid w:val="13F90322"/>
    <w:rsid w:val="141D59F3"/>
    <w:rsid w:val="143A0A8B"/>
    <w:rsid w:val="143C54B7"/>
    <w:rsid w:val="14592105"/>
    <w:rsid w:val="145D5A7A"/>
    <w:rsid w:val="14736230"/>
    <w:rsid w:val="148032CA"/>
    <w:rsid w:val="14C03B16"/>
    <w:rsid w:val="14D507B4"/>
    <w:rsid w:val="14DB04C0"/>
    <w:rsid w:val="150536D1"/>
    <w:rsid w:val="15097A8D"/>
    <w:rsid w:val="150C45F4"/>
    <w:rsid w:val="1518073D"/>
    <w:rsid w:val="15415E49"/>
    <w:rsid w:val="15674B8D"/>
    <w:rsid w:val="157421B5"/>
    <w:rsid w:val="157543DA"/>
    <w:rsid w:val="158B568C"/>
    <w:rsid w:val="15B740EF"/>
    <w:rsid w:val="15EF35C9"/>
    <w:rsid w:val="161C2B3E"/>
    <w:rsid w:val="163E4B33"/>
    <w:rsid w:val="164A4247"/>
    <w:rsid w:val="165F6ECF"/>
    <w:rsid w:val="1674297A"/>
    <w:rsid w:val="167B0453"/>
    <w:rsid w:val="16A86AE4"/>
    <w:rsid w:val="16B108BF"/>
    <w:rsid w:val="16C71D2F"/>
    <w:rsid w:val="16DB7110"/>
    <w:rsid w:val="16EF2001"/>
    <w:rsid w:val="170D14D3"/>
    <w:rsid w:val="17424826"/>
    <w:rsid w:val="175170E3"/>
    <w:rsid w:val="1765004A"/>
    <w:rsid w:val="17B648CC"/>
    <w:rsid w:val="17BB3400"/>
    <w:rsid w:val="17C36FE9"/>
    <w:rsid w:val="17DB0019"/>
    <w:rsid w:val="17E354E5"/>
    <w:rsid w:val="17EB5D40"/>
    <w:rsid w:val="18115FA7"/>
    <w:rsid w:val="184543DB"/>
    <w:rsid w:val="18495B0B"/>
    <w:rsid w:val="184B770B"/>
    <w:rsid w:val="186B56B7"/>
    <w:rsid w:val="186C293F"/>
    <w:rsid w:val="187154CA"/>
    <w:rsid w:val="18756535"/>
    <w:rsid w:val="18A961DF"/>
    <w:rsid w:val="18AE1A47"/>
    <w:rsid w:val="18CF5C22"/>
    <w:rsid w:val="18D23988"/>
    <w:rsid w:val="18F57BE3"/>
    <w:rsid w:val="192F4936"/>
    <w:rsid w:val="19377C8F"/>
    <w:rsid w:val="196B3A49"/>
    <w:rsid w:val="19A277FE"/>
    <w:rsid w:val="19AE61A3"/>
    <w:rsid w:val="19BD1867"/>
    <w:rsid w:val="19CA465F"/>
    <w:rsid w:val="19E81C97"/>
    <w:rsid w:val="1A82318C"/>
    <w:rsid w:val="1A845A35"/>
    <w:rsid w:val="1AC27A7F"/>
    <w:rsid w:val="1AFA46C7"/>
    <w:rsid w:val="1AFB7A91"/>
    <w:rsid w:val="1B145CB0"/>
    <w:rsid w:val="1B4D19EC"/>
    <w:rsid w:val="1B5A7C65"/>
    <w:rsid w:val="1B605237"/>
    <w:rsid w:val="1B972C67"/>
    <w:rsid w:val="1C0302FC"/>
    <w:rsid w:val="1C061731"/>
    <w:rsid w:val="1C1B0144"/>
    <w:rsid w:val="1C1C4F1A"/>
    <w:rsid w:val="1C3B7A96"/>
    <w:rsid w:val="1C4E4299"/>
    <w:rsid w:val="1CB17D58"/>
    <w:rsid w:val="1CC925D4"/>
    <w:rsid w:val="1CCA7EC2"/>
    <w:rsid w:val="1CD53A47"/>
    <w:rsid w:val="1CEB6DC6"/>
    <w:rsid w:val="1CF902CF"/>
    <w:rsid w:val="1D100184"/>
    <w:rsid w:val="1D1B1546"/>
    <w:rsid w:val="1D552DD9"/>
    <w:rsid w:val="1D5D0701"/>
    <w:rsid w:val="1D646B79"/>
    <w:rsid w:val="1DA209EA"/>
    <w:rsid w:val="1DCE2CFA"/>
    <w:rsid w:val="1DE63A32"/>
    <w:rsid w:val="1DF37276"/>
    <w:rsid w:val="1E022E82"/>
    <w:rsid w:val="1E4A3B7E"/>
    <w:rsid w:val="1E8C66C0"/>
    <w:rsid w:val="1EA2302B"/>
    <w:rsid w:val="1EB458DE"/>
    <w:rsid w:val="1EE547BF"/>
    <w:rsid w:val="1F0C2860"/>
    <w:rsid w:val="1F387436"/>
    <w:rsid w:val="1F6379CD"/>
    <w:rsid w:val="1F721A21"/>
    <w:rsid w:val="1F8633EF"/>
    <w:rsid w:val="1F8B4401"/>
    <w:rsid w:val="1FAE143F"/>
    <w:rsid w:val="1FB75686"/>
    <w:rsid w:val="1FF26C41"/>
    <w:rsid w:val="1FFB2068"/>
    <w:rsid w:val="200E297F"/>
    <w:rsid w:val="20140D2A"/>
    <w:rsid w:val="202F7BC1"/>
    <w:rsid w:val="204327F5"/>
    <w:rsid w:val="20571C5D"/>
    <w:rsid w:val="205F0ADF"/>
    <w:rsid w:val="20611216"/>
    <w:rsid w:val="21441276"/>
    <w:rsid w:val="216E6218"/>
    <w:rsid w:val="217D1E03"/>
    <w:rsid w:val="21904BAD"/>
    <w:rsid w:val="21A67760"/>
    <w:rsid w:val="21D027C7"/>
    <w:rsid w:val="21D267A7"/>
    <w:rsid w:val="21EF55AB"/>
    <w:rsid w:val="220933D7"/>
    <w:rsid w:val="221576A4"/>
    <w:rsid w:val="221D52C2"/>
    <w:rsid w:val="223631D9"/>
    <w:rsid w:val="22557820"/>
    <w:rsid w:val="227A118A"/>
    <w:rsid w:val="229F7CA9"/>
    <w:rsid w:val="22BA0B14"/>
    <w:rsid w:val="22BA113C"/>
    <w:rsid w:val="22EB2772"/>
    <w:rsid w:val="22ED19A4"/>
    <w:rsid w:val="23250AB2"/>
    <w:rsid w:val="232623FE"/>
    <w:rsid w:val="23812232"/>
    <w:rsid w:val="23847F75"/>
    <w:rsid w:val="238D775D"/>
    <w:rsid w:val="23907B73"/>
    <w:rsid w:val="23BE43BD"/>
    <w:rsid w:val="23E51D63"/>
    <w:rsid w:val="23F06802"/>
    <w:rsid w:val="23F073B8"/>
    <w:rsid w:val="24284DA4"/>
    <w:rsid w:val="249935AC"/>
    <w:rsid w:val="24CA32FF"/>
    <w:rsid w:val="250550E5"/>
    <w:rsid w:val="25382DC5"/>
    <w:rsid w:val="257430BA"/>
    <w:rsid w:val="25920BC5"/>
    <w:rsid w:val="25E90E29"/>
    <w:rsid w:val="25F22DF1"/>
    <w:rsid w:val="26257B6B"/>
    <w:rsid w:val="264E03C6"/>
    <w:rsid w:val="268C786C"/>
    <w:rsid w:val="26E67350"/>
    <w:rsid w:val="272C4BAB"/>
    <w:rsid w:val="27324726"/>
    <w:rsid w:val="275C6A3B"/>
    <w:rsid w:val="276A122F"/>
    <w:rsid w:val="27A26C29"/>
    <w:rsid w:val="27F82CDF"/>
    <w:rsid w:val="27FD34FF"/>
    <w:rsid w:val="2815563F"/>
    <w:rsid w:val="282835C4"/>
    <w:rsid w:val="28322889"/>
    <w:rsid w:val="28457D54"/>
    <w:rsid w:val="28500425"/>
    <w:rsid w:val="285B4667"/>
    <w:rsid w:val="285F721F"/>
    <w:rsid w:val="28887BBF"/>
    <w:rsid w:val="28C07557"/>
    <w:rsid w:val="28C57065"/>
    <w:rsid w:val="28D948BF"/>
    <w:rsid w:val="28F76430"/>
    <w:rsid w:val="28F827FE"/>
    <w:rsid w:val="28FC2478"/>
    <w:rsid w:val="29147F76"/>
    <w:rsid w:val="2920429C"/>
    <w:rsid w:val="29374481"/>
    <w:rsid w:val="297A4CFE"/>
    <w:rsid w:val="297B3247"/>
    <w:rsid w:val="297F0C3C"/>
    <w:rsid w:val="298E7457"/>
    <w:rsid w:val="29AA0009"/>
    <w:rsid w:val="29AE2EC5"/>
    <w:rsid w:val="29C27101"/>
    <w:rsid w:val="29DB4666"/>
    <w:rsid w:val="29EE7A91"/>
    <w:rsid w:val="29EE7EF6"/>
    <w:rsid w:val="2A0F79E8"/>
    <w:rsid w:val="2A1A0167"/>
    <w:rsid w:val="2A207473"/>
    <w:rsid w:val="2A2727BD"/>
    <w:rsid w:val="2A285030"/>
    <w:rsid w:val="2A375D41"/>
    <w:rsid w:val="2A495A74"/>
    <w:rsid w:val="2A4E308A"/>
    <w:rsid w:val="2A586347"/>
    <w:rsid w:val="2A727AC6"/>
    <w:rsid w:val="2A75396E"/>
    <w:rsid w:val="2A7B6C8D"/>
    <w:rsid w:val="2A7F1496"/>
    <w:rsid w:val="2A9211C9"/>
    <w:rsid w:val="2A984828"/>
    <w:rsid w:val="2AB67BC0"/>
    <w:rsid w:val="2ABD3ED7"/>
    <w:rsid w:val="2AEB319C"/>
    <w:rsid w:val="2B0100FD"/>
    <w:rsid w:val="2B2F316D"/>
    <w:rsid w:val="2B3E30FF"/>
    <w:rsid w:val="2B404781"/>
    <w:rsid w:val="2B5B4B8C"/>
    <w:rsid w:val="2B795EE5"/>
    <w:rsid w:val="2B807316"/>
    <w:rsid w:val="2B8E4D44"/>
    <w:rsid w:val="2BAA7A70"/>
    <w:rsid w:val="2BB1328F"/>
    <w:rsid w:val="2BDB13B0"/>
    <w:rsid w:val="2C115DDC"/>
    <w:rsid w:val="2C4364D9"/>
    <w:rsid w:val="2C532F64"/>
    <w:rsid w:val="2C6816B5"/>
    <w:rsid w:val="2C83526D"/>
    <w:rsid w:val="2C980689"/>
    <w:rsid w:val="2CB1057E"/>
    <w:rsid w:val="2CC62531"/>
    <w:rsid w:val="2D8007C2"/>
    <w:rsid w:val="2DA175EC"/>
    <w:rsid w:val="2DFF7D0A"/>
    <w:rsid w:val="2E0E0B44"/>
    <w:rsid w:val="2E1168A9"/>
    <w:rsid w:val="2E346171"/>
    <w:rsid w:val="2E3A4D66"/>
    <w:rsid w:val="2E747270"/>
    <w:rsid w:val="2E7F2693"/>
    <w:rsid w:val="2E8C4181"/>
    <w:rsid w:val="2E8C6FF7"/>
    <w:rsid w:val="2E9641BA"/>
    <w:rsid w:val="2E9F2106"/>
    <w:rsid w:val="2EB51C01"/>
    <w:rsid w:val="2EBA6870"/>
    <w:rsid w:val="2EC159E5"/>
    <w:rsid w:val="2EE10029"/>
    <w:rsid w:val="2EE23DA1"/>
    <w:rsid w:val="2EF064BE"/>
    <w:rsid w:val="2F0130C4"/>
    <w:rsid w:val="2F3A0262"/>
    <w:rsid w:val="2F5675AD"/>
    <w:rsid w:val="2F6A194D"/>
    <w:rsid w:val="2FB76DCF"/>
    <w:rsid w:val="2FCB7306"/>
    <w:rsid w:val="2FE438F4"/>
    <w:rsid w:val="2FE577FC"/>
    <w:rsid w:val="300264A9"/>
    <w:rsid w:val="3025686D"/>
    <w:rsid w:val="303074BA"/>
    <w:rsid w:val="306453B6"/>
    <w:rsid w:val="30981F0E"/>
    <w:rsid w:val="309B3BC7"/>
    <w:rsid w:val="30C14905"/>
    <w:rsid w:val="30DD426A"/>
    <w:rsid w:val="30E24904"/>
    <w:rsid w:val="30E30C0B"/>
    <w:rsid w:val="31086DB6"/>
    <w:rsid w:val="310B6A3D"/>
    <w:rsid w:val="31114464"/>
    <w:rsid w:val="31194688"/>
    <w:rsid w:val="314309AE"/>
    <w:rsid w:val="317C64C9"/>
    <w:rsid w:val="31842C9B"/>
    <w:rsid w:val="31903F88"/>
    <w:rsid w:val="31B16024"/>
    <w:rsid w:val="31CC4991"/>
    <w:rsid w:val="31CC5D00"/>
    <w:rsid w:val="31DD58A9"/>
    <w:rsid w:val="31E01704"/>
    <w:rsid w:val="31EC526E"/>
    <w:rsid w:val="31EF6F01"/>
    <w:rsid w:val="31F863B6"/>
    <w:rsid w:val="31FC3109"/>
    <w:rsid w:val="32096215"/>
    <w:rsid w:val="322F3FB8"/>
    <w:rsid w:val="3232070F"/>
    <w:rsid w:val="32380B5E"/>
    <w:rsid w:val="324E00CB"/>
    <w:rsid w:val="326E7E26"/>
    <w:rsid w:val="32795C9D"/>
    <w:rsid w:val="32A73338"/>
    <w:rsid w:val="32BB2F43"/>
    <w:rsid w:val="32DF445D"/>
    <w:rsid w:val="330675DA"/>
    <w:rsid w:val="33735E42"/>
    <w:rsid w:val="33802506"/>
    <w:rsid w:val="33A04957"/>
    <w:rsid w:val="3413652A"/>
    <w:rsid w:val="341F0B1A"/>
    <w:rsid w:val="3442156A"/>
    <w:rsid w:val="345474EF"/>
    <w:rsid w:val="34601ABD"/>
    <w:rsid w:val="34A04441"/>
    <w:rsid w:val="34C93A39"/>
    <w:rsid w:val="34CB4D4F"/>
    <w:rsid w:val="34E34543"/>
    <w:rsid w:val="34E42621"/>
    <w:rsid w:val="34F71E4A"/>
    <w:rsid w:val="352C6EA7"/>
    <w:rsid w:val="35564EC0"/>
    <w:rsid w:val="355F7307"/>
    <w:rsid w:val="35775243"/>
    <w:rsid w:val="35844061"/>
    <w:rsid w:val="35935DF5"/>
    <w:rsid w:val="35BD20FC"/>
    <w:rsid w:val="35EF7026"/>
    <w:rsid w:val="35F26FC0"/>
    <w:rsid w:val="36127FCE"/>
    <w:rsid w:val="362E2C34"/>
    <w:rsid w:val="36360C03"/>
    <w:rsid w:val="363761CA"/>
    <w:rsid w:val="36625EF3"/>
    <w:rsid w:val="368E012F"/>
    <w:rsid w:val="369D517D"/>
    <w:rsid w:val="36BF2207"/>
    <w:rsid w:val="36BF5C50"/>
    <w:rsid w:val="36E17265"/>
    <w:rsid w:val="36EA2C28"/>
    <w:rsid w:val="36EA43A7"/>
    <w:rsid w:val="36EC3A0F"/>
    <w:rsid w:val="36FA3DA8"/>
    <w:rsid w:val="370B658B"/>
    <w:rsid w:val="37BB00E7"/>
    <w:rsid w:val="37DB0DDB"/>
    <w:rsid w:val="380B25BB"/>
    <w:rsid w:val="381C0244"/>
    <w:rsid w:val="382471D8"/>
    <w:rsid w:val="3826627C"/>
    <w:rsid w:val="383053D0"/>
    <w:rsid w:val="38482B54"/>
    <w:rsid w:val="38572324"/>
    <w:rsid w:val="386046B4"/>
    <w:rsid w:val="386F48F8"/>
    <w:rsid w:val="38863E83"/>
    <w:rsid w:val="389D76B7"/>
    <w:rsid w:val="38C02AD1"/>
    <w:rsid w:val="38C727A6"/>
    <w:rsid w:val="393A7A45"/>
    <w:rsid w:val="396D0A2A"/>
    <w:rsid w:val="398443D3"/>
    <w:rsid w:val="39914FE8"/>
    <w:rsid w:val="399860D0"/>
    <w:rsid w:val="39A21F4A"/>
    <w:rsid w:val="39A60F9C"/>
    <w:rsid w:val="39A8171C"/>
    <w:rsid w:val="39BB4B3A"/>
    <w:rsid w:val="39C67826"/>
    <w:rsid w:val="39CC330E"/>
    <w:rsid w:val="39CC60C1"/>
    <w:rsid w:val="39D117B5"/>
    <w:rsid w:val="3A160918"/>
    <w:rsid w:val="3A412D43"/>
    <w:rsid w:val="3A4138D4"/>
    <w:rsid w:val="3A42544F"/>
    <w:rsid w:val="3A564669"/>
    <w:rsid w:val="3A7C32FC"/>
    <w:rsid w:val="3A8A77C7"/>
    <w:rsid w:val="3B1672AC"/>
    <w:rsid w:val="3B4669EF"/>
    <w:rsid w:val="3BA42B0A"/>
    <w:rsid w:val="3BC1190E"/>
    <w:rsid w:val="3BD3519D"/>
    <w:rsid w:val="3BE46F30"/>
    <w:rsid w:val="3BE64ED1"/>
    <w:rsid w:val="3BEE1FD7"/>
    <w:rsid w:val="3C1F0E87"/>
    <w:rsid w:val="3C351C38"/>
    <w:rsid w:val="3C3E4D0D"/>
    <w:rsid w:val="3C4E506C"/>
    <w:rsid w:val="3C544530"/>
    <w:rsid w:val="3CD66A93"/>
    <w:rsid w:val="3D0C3430"/>
    <w:rsid w:val="3D141F11"/>
    <w:rsid w:val="3D164601"/>
    <w:rsid w:val="3D17331F"/>
    <w:rsid w:val="3D192D32"/>
    <w:rsid w:val="3D1B4F89"/>
    <w:rsid w:val="3D1D48D7"/>
    <w:rsid w:val="3D2757A1"/>
    <w:rsid w:val="3D5C48A4"/>
    <w:rsid w:val="3DA54918"/>
    <w:rsid w:val="3DA77592"/>
    <w:rsid w:val="3DCB7CDA"/>
    <w:rsid w:val="3DDB1D62"/>
    <w:rsid w:val="3DFD0D30"/>
    <w:rsid w:val="3E520DC7"/>
    <w:rsid w:val="3E5C6E19"/>
    <w:rsid w:val="3E7372C8"/>
    <w:rsid w:val="3E78202C"/>
    <w:rsid w:val="3E9701B9"/>
    <w:rsid w:val="3EA11583"/>
    <w:rsid w:val="3EB7108E"/>
    <w:rsid w:val="3EBA0082"/>
    <w:rsid w:val="3EC6723B"/>
    <w:rsid w:val="3ECD6329"/>
    <w:rsid w:val="3EF45B57"/>
    <w:rsid w:val="3EFE69D5"/>
    <w:rsid w:val="3F1C2102"/>
    <w:rsid w:val="3F267B0A"/>
    <w:rsid w:val="3F5A39C1"/>
    <w:rsid w:val="3F620D12"/>
    <w:rsid w:val="3F6E3B5B"/>
    <w:rsid w:val="3F722366"/>
    <w:rsid w:val="3F7950FB"/>
    <w:rsid w:val="40DF37C6"/>
    <w:rsid w:val="40E86356"/>
    <w:rsid w:val="411C3143"/>
    <w:rsid w:val="41384420"/>
    <w:rsid w:val="4158226E"/>
    <w:rsid w:val="41583ECA"/>
    <w:rsid w:val="41850CE8"/>
    <w:rsid w:val="419B45AF"/>
    <w:rsid w:val="419E66B4"/>
    <w:rsid w:val="41A1668E"/>
    <w:rsid w:val="41B8516E"/>
    <w:rsid w:val="41BB08B7"/>
    <w:rsid w:val="41D0757F"/>
    <w:rsid w:val="420B57A6"/>
    <w:rsid w:val="42103E63"/>
    <w:rsid w:val="42266472"/>
    <w:rsid w:val="425C7C82"/>
    <w:rsid w:val="425F0A93"/>
    <w:rsid w:val="42823E7F"/>
    <w:rsid w:val="42B34BFF"/>
    <w:rsid w:val="42C37ABF"/>
    <w:rsid w:val="43170066"/>
    <w:rsid w:val="43474DBC"/>
    <w:rsid w:val="4349399B"/>
    <w:rsid w:val="43601C33"/>
    <w:rsid w:val="43993170"/>
    <w:rsid w:val="43B34232"/>
    <w:rsid w:val="43F510AE"/>
    <w:rsid w:val="44240C8C"/>
    <w:rsid w:val="442E1B0B"/>
    <w:rsid w:val="443B6D8D"/>
    <w:rsid w:val="44556AEB"/>
    <w:rsid w:val="447907F6"/>
    <w:rsid w:val="447C15AD"/>
    <w:rsid w:val="447D46C9"/>
    <w:rsid w:val="44B227B7"/>
    <w:rsid w:val="44B556B7"/>
    <w:rsid w:val="44EE3FA4"/>
    <w:rsid w:val="44F16CFA"/>
    <w:rsid w:val="44FB7C21"/>
    <w:rsid w:val="45615390"/>
    <w:rsid w:val="45F16DE0"/>
    <w:rsid w:val="46216785"/>
    <w:rsid w:val="46345E62"/>
    <w:rsid w:val="469C7200"/>
    <w:rsid w:val="469E4904"/>
    <w:rsid w:val="46CA19DE"/>
    <w:rsid w:val="46EA7B1B"/>
    <w:rsid w:val="46FC7C9E"/>
    <w:rsid w:val="4705460D"/>
    <w:rsid w:val="47372A84"/>
    <w:rsid w:val="47456736"/>
    <w:rsid w:val="475425B3"/>
    <w:rsid w:val="475F73B4"/>
    <w:rsid w:val="478960F5"/>
    <w:rsid w:val="47A0687C"/>
    <w:rsid w:val="47A07BBB"/>
    <w:rsid w:val="47EC1AC1"/>
    <w:rsid w:val="48061E29"/>
    <w:rsid w:val="48335AC8"/>
    <w:rsid w:val="488A3088"/>
    <w:rsid w:val="488C32A4"/>
    <w:rsid w:val="488E7E21"/>
    <w:rsid w:val="48DB7593"/>
    <w:rsid w:val="48DC73A0"/>
    <w:rsid w:val="48DF63F4"/>
    <w:rsid w:val="49051320"/>
    <w:rsid w:val="49170C3D"/>
    <w:rsid w:val="491A51A4"/>
    <w:rsid w:val="49431385"/>
    <w:rsid w:val="496C716C"/>
    <w:rsid w:val="497E0E3E"/>
    <w:rsid w:val="497F6A31"/>
    <w:rsid w:val="499A72FA"/>
    <w:rsid w:val="49AD0262"/>
    <w:rsid w:val="49C96153"/>
    <w:rsid w:val="49E226D4"/>
    <w:rsid w:val="49ED7A10"/>
    <w:rsid w:val="49F82FD8"/>
    <w:rsid w:val="4A0B1752"/>
    <w:rsid w:val="4A235542"/>
    <w:rsid w:val="4A443E36"/>
    <w:rsid w:val="4A5A5C34"/>
    <w:rsid w:val="4A673681"/>
    <w:rsid w:val="4A6E0EB3"/>
    <w:rsid w:val="4A802994"/>
    <w:rsid w:val="4A852634"/>
    <w:rsid w:val="4AC22FAD"/>
    <w:rsid w:val="4AC9307C"/>
    <w:rsid w:val="4B2B6DA4"/>
    <w:rsid w:val="4B5F07FC"/>
    <w:rsid w:val="4B8051BF"/>
    <w:rsid w:val="4B9009B5"/>
    <w:rsid w:val="4B99161B"/>
    <w:rsid w:val="4BF00726"/>
    <w:rsid w:val="4BF16C54"/>
    <w:rsid w:val="4BFD1EA5"/>
    <w:rsid w:val="4BFE4D64"/>
    <w:rsid w:val="4C325F10"/>
    <w:rsid w:val="4C3C4414"/>
    <w:rsid w:val="4C460421"/>
    <w:rsid w:val="4C5E4F57"/>
    <w:rsid w:val="4C6F2EBB"/>
    <w:rsid w:val="4C72455F"/>
    <w:rsid w:val="4C8F47D1"/>
    <w:rsid w:val="4CA06D2E"/>
    <w:rsid w:val="4CA92720"/>
    <w:rsid w:val="4CAC1889"/>
    <w:rsid w:val="4CCA4162"/>
    <w:rsid w:val="4CF237DA"/>
    <w:rsid w:val="4CF431C6"/>
    <w:rsid w:val="4CF6066C"/>
    <w:rsid w:val="4D4759EB"/>
    <w:rsid w:val="4D686D3B"/>
    <w:rsid w:val="4D6C2214"/>
    <w:rsid w:val="4D75622F"/>
    <w:rsid w:val="4D78603B"/>
    <w:rsid w:val="4D865A95"/>
    <w:rsid w:val="4D902EEE"/>
    <w:rsid w:val="4DA30493"/>
    <w:rsid w:val="4DBE3CC4"/>
    <w:rsid w:val="4DD378A9"/>
    <w:rsid w:val="4DD908A5"/>
    <w:rsid w:val="4E076E01"/>
    <w:rsid w:val="4E0C0986"/>
    <w:rsid w:val="4E2C2FA1"/>
    <w:rsid w:val="4E3917D8"/>
    <w:rsid w:val="4E7957C0"/>
    <w:rsid w:val="4E956958"/>
    <w:rsid w:val="4EC232FC"/>
    <w:rsid w:val="4EDB63EB"/>
    <w:rsid w:val="4EE47996"/>
    <w:rsid w:val="4EEA2787"/>
    <w:rsid w:val="4F305F50"/>
    <w:rsid w:val="4F385E88"/>
    <w:rsid w:val="4F3D70A6"/>
    <w:rsid w:val="4F3F4C1E"/>
    <w:rsid w:val="4F7B1680"/>
    <w:rsid w:val="4F98272E"/>
    <w:rsid w:val="4FA669F9"/>
    <w:rsid w:val="4FCB6621"/>
    <w:rsid w:val="4FDC241B"/>
    <w:rsid w:val="501C11C3"/>
    <w:rsid w:val="503970D4"/>
    <w:rsid w:val="504D1B60"/>
    <w:rsid w:val="50C1538E"/>
    <w:rsid w:val="50E7532A"/>
    <w:rsid w:val="50E816C0"/>
    <w:rsid w:val="50F003C4"/>
    <w:rsid w:val="50F43794"/>
    <w:rsid w:val="50FE4613"/>
    <w:rsid w:val="5133250E"/>
    <w:rsid w:val="51335F3E"/>
    <w:rsid w:val="515D3EAD"/>
    <w:rsid w:val="51976F41"/>
    <w:rsid w:val="51CE2237"/>
    <w:rsid w:val="51F50F7A"/>
    <w:rsid w:val="52187956"/>
    <w:rsid w:val="52A73BB9"/>
    <w:rsid w:val="52B551A5"/>
    <w:rsid w:val="52C06024"/>
    <w:rsid w:val="53177C0E"/>
    <w:rsid w:val="5325232B"/>
    <w:rsid w:val="533A619B"/>
    <w:rsid w:val="536F17F8"/>
    <w:rsid w:val="53700DD6"/>
    <w:rsid w:val="538F31DB"/>
    <w:rsid w:val="53990737"/>
    <w:rsid w:val="53B90F06"/>
    <w:rsid w:val="53C95562"/>
    <w:rsid w:val="53E679B5"/>
    <w:rsid w:val="54065CB8"/>
    <w:rsid w:val="540939FA"/>
    <w:rsid w:val="540E5FF2"/>
    <w:rsid w:val="5474356A"/>
    <w:rsid w:val="54C13573"/>
    <w:rsid w:val="55425D94"/>
    <w:rsid w:val="55686274"/>
    <w:rsid w:val="556E112F"/>
    <w:rsid w:val="55A50EBF"/>
    <w:rsid w:val="55AC288F"/>
    <w:rsid w:val="55BD2CEE"/>
    <w:rsid w:val="55C37840"/>
    <w:rsid w:val="55E22755"/>
    <w:rsid w:val="55FF23E7"/>
    <w:rsid w:val="5605518B"/>
    <w:rsid w:val="56262642"/>
    <w:rsid w:val="56710779"/>
    <w:rsid w:val="5674512C"/>
    <w:rsid w:val="567459BC"/>
    <w:rsid w:val="567F7FA4"/>
    <w:rsid w:val="56840009"/>
    <w:rsid w:val="56BC2FA6"/>
    <w:rsid w:val="56F254DF"/>
    <w:rsid w:val="56F72230"/>
    <w:rsid w:val="572A7F10"/>
    <w:rsid w:val="573A204C"/>
    <w:rsid w:val="5790539F"/>
    <w:rsid w:val="57A00008"/>
    <w:rsid w:val="57C16528"/>
    <w:rsid w:val="57DC4038"/>
    <w:rsid w:val="580C3AB9"/>
    <w:rsid w:val="581B535C"/>
    <w:rsid w:val="583E4EEE"/>
    <w:rsid w:val="58794583"/>
    <w:rsid w:val="58865369"/>
    <w:rsid w:val="58D72319"/>
    <w:rsid w:val="58DE7204"/>
    <w:rsid w:val="58DF2F7C"/>
    <w:rsid w:val="58ED7447"/>
    <w:rsid w:val="590633EB"/>
    <w:rsid w:val="59124845"/>
    <w:rsid w:val="591B0D17"/>
    <w:rsid w:val="59253085"/>
    <w:rsid w:val="593E5EF4"/>
    <w:rsid w:val="593F487D"/>
    <w:rsid w:val="596C024D"/>
    <w:rsid w:val="5970475F"/>
    <w:rsid w:val="5988716F"/>
    <w:rsid w:val="5A05482B"/>
    <w:rsid w:val="5A4312E0"/>
    <w:rsid w:val="5A4341B3"/>
    <w:rsid w:val="5A443D50"/>
    <w:rsid w:val="5A747DA3"/>
    <w:rsid w:val="5A9B508A"/>
    <w:rsid w:val="5AD76600"/>
    <w:rsid w:val="5B0D4C71"/>
    <w:rsid w:val="5B2D4472"/>
    <w:rsid w:val="5B4E6197"/>
    <w:rsid w:val="5B595267"/>
    <w:rsid w:val="5BBD57F6"/>
    <w:rsid w:val="5BE56656"/>
    <w:rsid w:val="5C004535"/>
    <w:rsid w:val="5C112B49"/>
    <w:rsid w:val="5C2D54A7"/>
    <w:rsid w:val="5C887F67"/>
    <w:rsid w:val="5C9B4EB2"/>
    <w:rsid w:val="5CD855E9"/>
    <w:rsid w:val="5CDA5DDA"/>
    <w:rsid w:val="5CEB0D10"/>
    <w:rsid w:val="5D115A5F"/>
    <w:rsid w:val="5D182D61"/>
    <w:rsid w:val="5D1F603D"/>
    <w:rsid w:val="5D2F3F6C"/>
    <w:rsid w:val="5D3C3BD0"/>
    <w:rsid w:val="5D3E4715"/>
    <w:rsid w:val="5D5757D7"/>
    <w:rsid w:val="5D871341"/>
    <w:rsid w:val="5D891708"/>
    <w:rsid w:val="5DDB01B6"/>
    <w:rsid w:val="5DE6191C"/>
    <w:rsid w:val="5DEC4171"/>
    <w:rsid w:val="5DF36D07"/>
    <w:rsid w:val="5DFB0858"/>
    <w:rsid w:val="5E517674"/>
    <w:rsid w:val="5E5534A4"/>
    <w:rsid w:val="5E677C9B"/>
    <w:rsid w:val="5E705A6B"/>
    <w:rsid w:val="5E7128C8"/>
    <w:rsid w:val="5EA32B8A"/>
    <w:rsid w:val="5F025C16"/>
    <w:rsid w:val="5F2478B2"/>
    <w:rsid w:val="5F8E6DB2"/>
    <w:rsid w:val="5FBF72BB"/>
    <w:rsid w:val="5FDE3F8D"/>
    <w:rsid w:val="600223AD"/>
    <w:rsid w:val="6059717C"/>
    <w:rsid w:val="606F4778"/>
    <w:rsid w:val="60871E6D"/>
    <w:rsid w:val="60A30D33"/>
    <w:rsid w:val="60C363E5"/>
    <w:rsid w:val="60D86A13"/>
    <w:rsid w:val="60FD0443"/>
    <w:rsid w:val="61047A23"/>
    <w:rsid w:val="61131DA2"/>
    <w:rsid w:val="611E64C4"/>
    <w:rsid w:val="61292F78"/>
    <w:rsid w:val="612A5791"/>
    <w:rsid w:val="61537C74"/>
    <w:rsid w:val="617250F2"/>
    <w:rsid w:val="61865599"/>
    <w:rsid w:val="61A44D62"/>
    <w:rsid w:val="61AE5BE1"/>
    <w:rsid w:val="61B0747B"/>
    <w:rsid w:val="61B25108"/>
    <w:rsid w:val="61C84EF5"/>
    <w:rsid w:val="621F23F9"/>
    <w:rsid w:val="62257C51"/>
    <w:rsid w:val="622D082E"/>
    <w:rsid w:val="624E56CC"/>
    <w:rsid w:val="62522A10"/>
    <w:rsid w:val="62BD4E12"/>
    <w:rsid w:val="62DE769A"/>
    <w:rsid w:val="62F55A1E"/>
    <w:rsid w:val="630A5099"/>
    <w:rsid w:val="63112D6F"/>
    <w:rsid w:val="632831B7"/>
    <w:rsid w:val="63413B45"/>
    <w:rsid w:val="634E5A7B"/>
    <w:rsid w:val="637A7B03"/>
    <w:rsid w:val="637D1D0F"/>
    <w:rsid w:val="63810D8E"/>
    <w:rsid w:val="639211F3"/>
    <w:rsid w:val="63B22B70"/>
    <w:rsid w:val="63C90AB0"/>
    <w:rsid w:val="63CF330A"/>
    <w:rsid w:val="63DE400D"/>
    <w:rsid w:val="63E466B5"/>
    <w:rsid w:val="63F46600"/>
    <w:rsid w:val="64122457"/>
    <w:rsid w:val="642B176B"/>
    <w:rsid w:val="642D54E3"/>
    <w:rsid w:val="645517A0"/>
    <w:rsid w:val="646E1C35"/>
    <w:rsid w:val="64700725"/>
    <w:rsid w:val="648066CC"/>
    <w:rsid w:val="648B19D2"/>
    <w:rsid w:val="64FB113D"/>
    <w:rsid w:val="650C334B"/>
    <w:rsid w:val="65116325"/>
    <w:rsid w:val="654B0D87"/>
    <w:rsid w:val="6558733B"/>
    <w:rsid w:val="655B2F90"/>
    <w:rsid w:val="656A4A00"/>
    <w:rsid w:val="65766A16"/>
    <w:rsid w:val="65944BBE"/>
    <w:rsid w:val="659D21F5"/>
    <w:rsid w:val="65A215B9"/>
    <w:rsid w:val="65CE23AE"/>
    <w:rsid w:val="65ED136A"/>
    <w:rsid w:val="6603474E"/>
    <w:rsid w:val="662B3956"/>
    <w:rsid w:val="665A7800"/>
    <w:rsid w:val="66651731"/>
    <w:rsid w:val="66737B66"/>
    <w:rsid w:val="669C089F"/>
    <w:rsid w:val="66D954AE"/>
    <w:rsid w:val="6778323D"/>
    <w:rsid w:val="67947444"/>
    <w:rsid w:val="67BB591E"/>
    <w:rsid w:val="67DA7BAA"/>
    <w:rsid w:val="67E47EBF"/>
    <w:rsid w:val="680F6ED9"/>
    <w:rsid w:val="68466B73"/>
    <w:rsid w:val="68553107"/>
    <w:rsid w:val="68854B34"/>
    <w:rsid w:val="68866F70"/>
    <w:rsid w:val="68AB2E7A"/>
    <w:rsid w:val="68BA4E6C"/>
    <w:rsid w:val="68D0468F"/>
    <w:rsid w:val="68D423D1"/>
    <w:rsid w:val="68F12069"/>
    <w:rsid w:val="691C78D4"/>
    <w:rsid w:val="694766FF"/>
    <w:rsid w:val="694B76BF"/>
    <w:rsid w:val="696E55E1"/>
    <w:rsid w:val="69762F36"/>
    <w:rsid w:val="697E6BBA"/>
    <w:rsid w:val="699E02E9"/>
    <w:rsid w:val="69A71894"/>
    <w:rsid w:val="69AC2A06"/>
    <w:rsid w:val="69CA10DE"/>
    <w:rsid w:val="69CC0E3C"/>
    <w:rsid w:val="69CC30A8"/>
    <w:rsid w:val="69F21389"/>
    <w:rsid w:val="6A132A85"/>
    <w:rsid w:val="6A1567FD"/>
    <w:rsid w:val="6A1C71D1"/>
    <w:rsid w:val="6A321CEB"/>
    <w:rsid w:val="6A410358"/>
    <w:rsid w:val="6A706FED"/>
    <w:rsid w:val="6A8415E7"/>
    <w:rsid w:val="6AB73D58"/>
    <w:rsid w:val="6AED1528"/>
    <w:rsid w:val="6B0762C5"/>
    <w:rsid w:val="6B0B41E2"/>
    <w:rsid w:val="6B444F40"/>
    <w:rsid w:val="6B7316A4"/>
    <w:rsid w:val="6B833C3B"/>
    <w:rsid w:val="6B8A321B"/>
    <w:rsid w:val="6B9E0A74"/>
    <w:rsid w:val="6B9F2EE7"/>
    <w:rsid w:val="6BAE0CB8"/>
    <w:rsid w:val="6BD237BA"/>
    <w:rsid w:val="6BDB75D3"/>
    <w:rsid w:val="6C081755"/>
    <w:rsid w:val="6C0A614D"/>
    <w:rsid w:val="6C2216A6"/>
    <w:rsid w:val="6C472EBA"/>
    <w:rsid w:val="6C550E7B"/>
    <w:rsid w:val="6C5A3A63"/>
    <w:rsid w:val="6C643F26"/>
    <w:rsid w:val="6C697558"/>
    <w:rsid w:val="6C6B0957"/>
    <w:rsid w:val="6C7921E1"/>
    <w:rsid w:val="6C846341"/>
    <w:rsid w:val="6C97769C"/>
    <w:rsid w:val="6CA1137C"/>
    <w:rsid w:val="6CBA4F10"/>
    <w:rsid w:val="6CBF5146"/>
    <w:rsid w:val="6CE40709"/>
    <w:rsid w:val="6CE547B7"/>
    <w:rsid w:val="6CFF4E40"/>
    <w:rsid w:val="6D196C93"/>
    <w:rsid w:val="6D2947D0"/>
    <w:rsid w:val="6D385F42"/>
    <w:rsid w:val="6D3E79B0"/>
    <w:rsid w:val="6D423F6A"/>
    <w:rsid w:val="6D5E2269"/>
    <w:rsid w:val="6D702D90"/>
    <w:rsid w:val="6D9D2A6C"/>
    <w:rsid w:val="6DA44C3F"/>
    <w:rsid w:val="6DAF51BB"/>
    <w:rsid w:val="6DB47328"/>
    <w:rsid w:val="6DD32B42"/>
    <w:rsid w:val="6E0B329C"/>
    <w:rsid w:val="6E14501E"/>
    <w:rsid w:val="6E2B2A93"/>
    <w:rsid w:val="6E3054BE"/>
    <w:rsid w:val="6E591D20"/>
    <w:rsid w:val="6E71421E"/>
    <w:rsid w:val="6E797A32"/>
    <w:rsid w:val="6E8B1784"/>
    <w:rsid w:val="6E906D9A"/>
    <w:rsid w:val="6EF3522A"/>
    <w:rsid w:val="6F0D268E"/>
    <w:rsid w:val="6F164CA3"/>
    <w:rsid w:val="6F4E01EE"/>
    <w:rsid w:val="6F7E3097"/>
    <w:rsid w:val="6F9A653C"/>
    <w:rsid w:val="6F9B16B6"/>
    <w:rsid w:val="6FA7194A"/>
    <w:rsid w:val="6FBE16E5"/>
    <w:rsid w:val="6FD46AA0"/>
    <w:rsid w:val="6FEB211D"/>
    <w:rsid w:val="6FF3669A"/>
    <w:rsid w:val="6FF85FDD"/>
    <w:rsid w:val="70164093"/>
    <w:rsid w:val="70537273"/>
    <w:rsid w:val="706109EE"/>
    <w:rsid w:val="706E4EB9"/>
    <w:rsid w:val="7070428E"/>
    <w:rsid w:val="70967F6C"/>
    <w:rsid w:val="70A02B99"/>
    <w:rsid w:val="70AF4583"/>
    <w:rsid w:val="70BA6AEF"/>
    <w:rsid w:val="70BF3967"/>
    <w:rsid w:val="70CB39A7"/>
    <w:rsid w:val="7167414C"/>
    <w:rsid w:val="71723392"/>
    <w:rsid w:val="71A4565A"/>
    <w:rsid w:val="71C51654"/>
    <w:rsid w:val="71C823A7"/>
    <w:rsid w:val="71CC2413"/>
    <w:rsid w:val="71D61A3A"/>
    <w:rsid w:val="71F17161"/>
    <w:rsid w:val="72385F42"/>
    <w:rsid w:val="725B76BF"/>
    <w:rsid w:val="72951ED1"/>
    <w:rsid w:val="7295497F"/>
    <w:rsid w:val="729C5A9B"/>
    <w:rsid w:val="72A93F87"/>
    <w:rsid w:val="72AE7D4E"/>
    <w:rsid w:val="72EC5E5C"/>
    <w:rsid w:val="72F13B80"/>
    <w:rsid w:val="73010267"/>
    <w:rsid w:val="73221500"/>
    <w:rsid w:val="73267871"/>
    <w:rsid w:val="734926E5"/>
    <w:rsid w:val="734E2D80"/>
    <w:rsid w:val="73791855"/>
    <w:rsid w:val="738A200A"/>
    <w:rsid w:val="73E346AF"/>
    <w:rsid w:val="73FB7DEF"/>
    <w:rsid w:val="7401338A"/>
    <w:rsid w:val="74100036"/>
    <w:rsid w:val="742A7349"/>
    <w:rsid w:val="7432523A"/>
    <w:rsid w:val="744128DD"/>
    <w:rsid w:val="74416441"/>
    <w:rsid w:val="745D4A0A"/>
    <w:rsid w:val="745D5385"/>
    <w:rsid w:val="74972AE5"/>
    <w:rsid w:val="74B32AEA"/>
    <w:rsid w:val="74C01A5C"/>
    <w:rsid w:val="74C65B85"/>
    <w:rsid w:val="74F16E49"/>
    <w:rsid w:val="74FE5D70"/>
    <w:rsid w:val="75265D63"/>
    <w:rsid w:val="75295853"/>
    <w:rsid w:val="753F240E"/>
    <w:rsid w:val="754206C3"/>
    <w:rsid w:val="757B4F05"/>
    <w:rsid w:val="75B61AC7"/>
    <w:rsid w:val="75B7675B"/>
    <w:rsid w:val="75B90985"/>
    <w:rsid w:val="75D2162E"/>
    <w:rsid w:val="75DE3B69"/>
    <w:rsid w:val="75FA2BD2"/>
    <w:rsid w:val="75FB0946"/>
    <w:rsid w:val="76574ADC"/>
    <w:rsid w:val="7658569F"/>
    <w:rsid w:val="766C317C"/>
    <w:rsid w:val="766E5C13"/>
    <w:rsid w:val="767E572A"/>
    <w:rsid w:val="769B3637"/>
    <w:rsid w:val="76B5398B"/>
    <w:rsid w:val="76D55E4D"/>
    <w:rsid w:val="76E50359"/>
    <w:rsid w:val="76E51777"/>
    <w:rsid w:val="76FF4ABD"/>
    <w:rsid w:val="76FF62B0"/>
    <w:rsid w:val="7755292F"/>
    <w:rsid w:val="778B00FF"/>
    <w:rsid w:val="779A6594"/>
    <w:rsid w:val="77AA7ABD"/>
    <w:rsid w:val="77AF64E3"/>
    <w:rsid w:val="77D551CC"/>
    <w:rsid w:val="780B4F6C"/>
    <w:rsid w:val="780C1E40"/>
    <w:rsid w:val="781F4CEB"/>
    <w:rsid w:val="78216CB5"/>
    <w:rsid w:val="785B3F75"/>
    <w:rsid w:val="785B520E"/>
    <w:rsid w:val="785D60AC"/>
    <w:rsid w:val="78713799"/>
    <w:rsid w:val="787C1BCC"/>
    <w:rsid w:val="787E14FF"/>
    <w:rsid w:val="788E3207"/>
    <w:rsid w:val="78A60CF5"/>
    <w:rsid w:val="78D22F3E"/>
    <w:rsid w:val="78E06A8C"/>
    <w:rsid w:val="796C21B2"/>
    <w:rsid w:val="79782905"/>
    <w:rsid w:val="79A0193C"/>
    <w:rsid w:val="79A35733"/>
    <w:rsid w:val="79A96F62"/>
    <w:rsid w:val="79BA6A08"/>
    <w:rsid w:val="79C93160"/>
    <w:rsid w:val="79E8048A"/>
    <w:rsid w:val="7A0B2DDB"/>
    <w:rsid w:val="7A1A08CD"/>
    <w:rsid w:val="7A6F3D08"/>
    <w:rsid w:val="7A884DCA"/>
    <w:rsid w:val="7A965738"/>
    <w:rsid w:val="7AD037DA"/>
    <w:rsid w:val="7AD674E0"/>
    <w:rsid w:val="7ADE3B61"/>
    <w:rsid w:val="7B1F670A"/>
    <w:rsid w:val="7B3A29CC"/>
    <w:rsid w:val="7BB01AD7"/>
    <w:rsid w:val="7BE61DA8"/>
    <w:rsid w:val="7BF429F7"/>
    <w:rsid w:val="7C0113BC"/>
    <w:rsid w:val="7C1427E9"/>
    <w:rsid w:val="7C1F52BA"/>
    <w:rsid w:val="7C2E7339"/>
    <w:rsid w:val="7C3377C0"/>
    <w:rsid w:val="7C3431C7"/>
    <w:rsid w:val="7C3F7F93"/>
    <w:rsid w:val="7C9C4B5C"/>
    <w:rsid w:val="7CA53A11"/>
    <w:rsid w:val="7CAE1335"/>
    <w:rsid w:val="7CB07A74"/>
    <w:rsid w:val="7CB225D2"/>
    <w:rsid w:val="7CCC3693"/>
    <w:rsid w:val="7CD10CAA"/>
    <w:rsid w:val="7CD36C81"/>
    <w:rsid w:val="7CEE0BDD"/>
    <w:rsid w:val="7D05706D"/>
    <w:rsid w:val="7D1C67C1"/>
    <w:rsid w:val="7D3F04F8"/>
    <w:rsid w:val="7D4E1740"/>
    <w:rsid w:val="7D560B07"/>
    <w:rsid w:val="7D64488F"/>
    <w:rsid w:val="7D821C72"/>
    <w:rsid w:val="7D8F2DB7"/>
    <w:rsid w:val="7DE95B7F"/>
    <w:rsid w:val="7DF82266"/>
    <w:rsid w:val="7E0A3BC3"/>
    <w:rsid w:val="7E2F4781"/>
    <w:rsid w:val="7E6E7E08"/>
    <w:rsid w:val="7E755665"/>
    <w:rsid w:val="7E8B6C36"/>
    <w:rsid w:val="7E8C5CD2"/>
    <w:rsid w:val="7E910172"/>
    <w:rsid w:val="7EB81E63"/>
    <w:rsid w:val="7EF053B6"/>
    <w:rsid w:val="7F007725"/>
    <w:rsid w:val="7F0A3FFF"/>
    <w:rsid w:val="7F1430D0"/>
    <w:rsid w:val="7F166E48"/>
    <w:rsid w:val="7F2D5F40"/>
    <w:rsid w:val="7F557192"/>
    <w:rsid w:val="7FF13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alloon Text"/>
    <w:basedOn w:val="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5828</Words>
  <Characters>5857</Characters>
  <Lines>0</Lines>
  <Paragraphs>0</Paragraphs>
  <TotalTime>4121</TotalTime>
  <ScaleCrop>false</ScaleCrop>
  <LinksUpToDate>false</LinksUpToDate>
  <CharactersWithSpaces>5864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2025-09-12T01:32:00Z</dcterms:created>
  <dc:creator>任亿榕</dc:creator>
  <cp:lastModifiedBy>董秋安</cp:lastModifiedBy>
  <cp:lastPrinted>2026-01-21T11:17:00Z</cp:lastPrinted>
  <dcterms:modified xsi:type="dcterms:W3CDTF">2026-07-17T08:03:28Z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A6AA84912A294191889BA962106BB90C_13</vt:lpwstr>
  </property>
  <property fmtid="{D5CDD505-2E9C-101B-9397-08002B2CF9AE}" pid="4" name="KSOTemplateDocerSaveRecord">
    <vt:lpwstr>eyJoZGlkIjoiOWI2MTNkNzRiZDgyZTYzZDFiOWE3ODhmMjFhNzhlMjIiLCJ1c2VySWQiOiI2MDU2OTczMjYifQ==</vt:lpwstr>
  </property>
</Properties>
</file>