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51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</w:pPr>
    </w:p>
    <w:p w14:paraId="62C8A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-SA"/>
        </w:rPr>
      </w:pPr>
    </w:p>
    <w:p w14:paraId="206A6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000000"/>
          <w:kern w:val="2"/>
          <w:sz w:val="44"/>
          <w:szCs w:val="44"/>
          <w:lang w:val="en-US" w:eastAsia="zh-CN" w:bidi="ar-SA"/>
        </w:rPr>
        <w:t>苏州市打造“山水园林城市”三年行动计划</w:t>
      </w:r>
    </w:p>
    <w:p w14:paraId="5CA24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（征求意见稿）</w:t>
      </w:r>
    </w:p>
    <w:p w14:paraId="2CAD4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4E7E4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</w:rPr>
        <w:t>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全面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</w:rPr>
        <w:t>贯彻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中央城市工作会议精神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</w:rPr>
        <w:t>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eastAsia="zh-CN"/>
        </w:rPr>
        <w:t>深入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落实市委城市工作会议部署，坚持以人为本，突出城市高质量发展目标，以“自然山水园中城、人工山水城中园”为主题，在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</w:rPr>
        <w:t>苏州“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公园城市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</w:rPr>
        <w:t>”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基础上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</w:rPr>
        <w:t>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拟定打造“山水园林城市”三年行动计划。</w:t>
      </w:r>
    </w:p>
    <w:p w14:paraId="5EF30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 w:eastAsiaTheme="minorEastAsia"/>
          <w:b w:val="0"/>
          <w:bCs w:val="0"/>
          <w:color w:val="00000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u w:val="none"/>
          <w:lang w:val="en-US" w:eastAsia="zh-CN" w:bidi="ar-SA"/>
        </w:rPr>
        <w:t>一、总体思路</w:t>
      </w:r>
    </w:p>
    <w:p w14:paraId="37DAA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FF0000"/>
          <w:kern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“山水园林城市”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保护发展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建设是深入贯彻习近平生态文明思想的具体举措，是20世纪90年代钱学森“山水城市”理念与当代苏州特色“公园城市”建设的有机融合和创新实践。苏州作为典型的江南水乡，山峦清秀、水网密布、园林精雅，古城肌理与自然山水交相辉映，建设“山水园林城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”具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有优越的自然禀赋：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空间格局特色鲜明，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四角山水”襟江带湖、湿地湖泊星罗棋布，古城居中水陆并行；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郊野山水意趣盎然，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湖岸山际花海壮丽，森林湿地资源丰沛，生态本底得天独厚；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城市绿化功能完善，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绿化风貌美观悦目，绿道网络体系完善，公园体系均衡布局；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园林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艺术独步天下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历史文脉源远流长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，四季花景相映成趣，园林技艺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历史悠久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。高质量构建“山水园林城市”，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</w:rPr>
        <w:t>将“人间天堂”的历史美誉转化为现代可持续发展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的城市品牌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</w:rPr>
        <w:t>为苏州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城市高质量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</w:rPr>
        <w:t>发展注入新动能。</w:t>
      </w:r>
    </w:p>
    <w:p w14:paraId="0A127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u w:val="none"/>
          <w:lang w:val="en-US" w:eastAsia="zh-CN" w:bidi="ar-SA"/>
        </w:rPr>
        <w:t>（一）基本原则</w:t>
      </w:r>
    </w:p>
    <w:p w14:paraId="66233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</w:rPr>
        <w:t>坚持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人与自然和谐共生。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严格保护城市自然资源本底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，保护“四角山水”生态格局，统筹“山水林园湖”生态系统治理。坚持人民城市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普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</w:rPr>
        <w:t>惠民生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eastAsia="zh-CN"/>
        </w:rPr>
        <w:t>原则。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</w:rPr>
        <w:t>促进绿色空间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供给丰富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探索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</w:rPr>
        <w:t>植物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花卉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</w:rPr>
        <w:t>科学配置，实现“春有花、夏有荫、秋有色、冬有绿”的四季景观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eastAsia="zh-CN"/>
        </w:rPr>
        <w:t>目标，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不断满足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</w:rPr>
        <w:t>人民群众的生活新期待。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坚持园林文脉保护传承。发挥世遗苏州园林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</w:rPr>
        <w:t>珍贵艺术特色，推动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</w:rPr>
        <w:t>园林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外移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eastAsia="zh-CN"/>
        </w:rPr>
        <w:t>”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的特色彰显，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在城市管理中做好苏州园林特色基因的活态传承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eastAsia="zh-CN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坚持产业经济多元发展。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u w:val="none"/>
          <w:lang w:val="en-US" w:eastAsia="zh-CN" w:bidi="ar"/>
        </w:rPr>
        <w:t>为园林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  <w:t>绿化可持续性产业注入新活力和新动能，赋能多维场景应用，构建协同共生、富有韧性的生态产业体系。</w:t>
      </w:r>
    </w:p>
    <w:p w14:paraId="52BA0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default" w:ascii="Times New Roman" w:hAnsi="Times New Roman" w:eastAsia="楷体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u w:val="none"/>
          <w:lang w:val="en-US" w:eastAsia="zh-CN" w:bidi="ar-SA"/>
        </w:rPr>
        <w:t>（二）主要目标</w:t>
      </w:r>
    </w:p>
    <w:p w14:paraId="0179B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生态本底更加稳固，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“四角山水”生态空间格局得到严格保护，“山水林园湖”一体化保护修复成效显著。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民生福祉更加丰厚，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推动“园林外移”，城乡生态空间活力品质多元化提升，建成均衡普惠的城乡公园体系。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园林特质日益鲜明，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苏州园林群体保护体系更加完善，苏州造园艺术思想研究深入，园林文脉传承创新活力充分迸发。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经济动能更加强劲，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激发生态涵养活力，美丽经济业态进一步发展，生态优势有效转化为发展优势。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塑造“山环水抱、蓝绿交织、繁花缀点”的独特城市格局，用古典园林的精巧绘就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出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新时代人与自然和谐共生的美丽画卷。</w:t>
      </w:r>
    </w:p>
    <w:p w14:paraId="539D15E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u w:val="none"/>
          <w:lang w:val="en-US" w:eastAsia="zh-CN"/>
        </w:rPr>
        <w:t>具体目标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以长江、太湖、西部山区、南部湿地为生态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基底，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以“古城居中、四角山水”为城市构架，有机串联自然保护地、森林湿地、城市绿地与古典园林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2"/>
          <w:szCs w:val="32"/>
          <w:u w:val="none"/>
          <w:lang w:val="en-US" w:eastAsia="zh-CN"/>
        </w:rPr>
        <w:t>丰富生态供给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/>
        </w:rPr>
        <w:t>全市山体和湿地得到全面保护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/>
        </w:rPr>
        <w:t>；提升山水连通性，在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/>
        </w:rPr>
        <w:t>全面摸排森林步道、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/>
        </w:rPr>
        <w:t>绿道、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/>
        </w:rPr>
        <w:t>登山道、砍柴道、古道、亲水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/>
        </w:rPr>
        <w:t>绿廊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/>
        </w:rPr>
        <w:t>等基础上，构建以环太湖区域为核心、市域范围为辐射的苏州风景路体系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  <w:t>；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2"/>
          <w:szCs w:val="32"/>
          <w:u w:val="none"/>
          <w:lang w:val="en-US" w:eastAsia="zh-CN" w:bidi="ar"/>
        </w:rPr>
        <w:t>完善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绿化品质，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  <w:t>打造和公布“一路一景”城市景观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  <w:t>；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凸显人文特色，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  <w:t>建成国际湿地城市联盟学校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  <w:t>开展“湿地+”“公园+”系列主题活动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  <w:t>同时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每年做好十大古典园林经典活动，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u w:val="none"/>
          <w:lang w:val="en-US" w:eastAsia="zh-CN" w:bidi="ar-SA"/>
        </w:rPr>
        <w:t>组织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u w:val="none"/>
          <w:lang w:val="en-US" w:eastAsia="zh-CN" w:bidi="ar-SA"/>
        </w:rPr>
        <w:t>园事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u w:val="none"/>
          <w:lang w:val="en-US" w:eastAsia="zh-CN" w:bidi="ar-SA"/>
        </w:rPr>
        <w:t>花事活动，开展海外园事花事交流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u w:val="none"/>
          <w:lang w:val="en-US" w:eastAsia="zh-CN" w:bidi="ar-SA"/>
        </w:rPr>
        <w:t>；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u w:val="none"/>
          <w:lang w:val="en-US" w:eastAsia="zh-CN" w:bidi="ar-SA"/>
        </w:rPr>
        <w:t>赋能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经济产业，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u w:val="none"/>
          <w:lang w:val="en-US" w:eastAsia="zh-CN" w:bidi="ar-SA"/>
        </w:rPr>
        <w:t>加强苏州园林辐射影响，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u w:val="none"/>
          <w:lang w:val="en-US" w:eastAsia="zh-CN" w:bidi="ar-SA"/>
        </w:rPr>
        <w:t>带动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全域民宿、餐饮、交通等直接和间接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消费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u w:val="none"/>
          <w:lang w:val="en-US" w:eastAsia="zh-CN" w:bidi="ar-SA"/>
        </w:rPr>
        <w:t>培育美丽经济新业态，</w:t>
      </w:r>
      <w:bookmarkStart w:id="0" w:name="OLE_LINK1"/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u w:val="none"/>
          <w:lang w:val="en-US" w:eastAsia="zh-CN" w:bidi="ar-SA"/>
        </w:rPr>
        <w:t>争创拉动全市花卉产业消费及周边衍生消费链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bookmarkEnd w:id="0"/>
    <w:p w14:paraId="239DDBD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  <w:lang w:val="en-US" w:eastAsia="zh-CN"/>
        </w:rPr>
        <w:t>主要任务</w:t>
      </w:r>
    </w:p>
    <w:p w14:paraId="194BB6A6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eastAsia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u w:val="none"/>
          <w:lang w:val="en-US" w:eastAsia="zh-CN" w:bidi="ar-SA"/>
        </w:rPr>
        <w:t>（一）筑牢“四角山水”生态基底，塑造“山水林园湖”的生态格局。</w:t>
      </w:r>
    </w:p>
    <w:p w14:paraId="6A6C3C82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  <w:t>保护“古城居中、四角山水”的城市自然空间格局，形成以“长江、太湖、西部山区、南部湿地和京杭大运河”为外环，“虎丘山、七子山、阳澄湖、澄湖”的四角山水为中环，古城护城河为内环的山水结构，进一步强化山、水、林、园、湖空间系统的有机交融。</w:t>
      </w:r>
    </w:p>
    <w:p w14:paraId="09DD20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u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u w:val="none"/>
          <w:lang w:val="en-US" w:eastAsia="zh-CN"/>
        </w:rPr>
        <w:t>构建“山林野趣”保护格局。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维护山体森林生态系统的原真性和完整性，使山体森林生态系统健康有序运行，呵护山林自然野趣风貌。精准提升森林质量，加快山体植被恢复，大力推进中幼林抚育、低效林改造和封山育林，进一步提升生态防护、森林景观、森林碳汇和物种丰富，多措并举促进山体森林生态系统正向演替。持续陆生野生动物及其栖息地调查监测，推进收容救护体系建设，全面提升山体森林生态系统在涵养水源、保育生物多样性等方面的核心承载能力。</w:t>
      </w:r>
    </w:p>
    <w:p w14:paraId="300E38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2.强化“水韵空间”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湿地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体系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在“国际湿地城市”成功认证的基础上，进一步完善湿地分级管理体系，积极推进太湖湖滨申报国际重要湿地，推进市级、县级一般湿地名录认定。持续开展湿地面积变化动态监测，严格湿地用途管控，维持湿地面积稳定。依托AI优化湿地智慧网络评估体系，推进太湖湿地国家定位观测站续建工作，构建智慧化、全覆盖的湿地动态评估体系。</w:t>
      </w:r>
    </w:p>
    <w:p w14:paraId="57152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u w:val="none"/>
          <w:lang w:val="en-US" w:eastAsia="zh-CN"/>
        </w:rPr>
        <w:t>3.夯实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u w:val="none"/>
          <w:lang w:val="en-US" w:eastAsia="zh-CN"/>
        </w:rPr>
        <w:t>自然生态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u w:val="none"/>
          <w:lang w:val="en-US" w:eastAsia="zh-CN"/>
        </w:rPr>
        <w:t>安全基础。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none"/>
          <w:lang w:val="en-US" w:eastAsia="zh-CN" w:bidi="ar-SA"/>
        </w:rPr>
        <w:t>夯实自然生态安全基础。发挥林长制优势，构建多部门协同监管机制。常态化巡查整治毁林开垦、乱砍滥伐、违规建设等行为。加强野生动植物保护，运行打击非法贸易联席会议制度，加强古树名木保护复壮。聚焦松材线虫病、美国白蛾等重大林业有害生物，科学实施预防性防治，打击检疫违法行为，坚守“零疫区”底线。</w:t>
      </w:r>
    </w:p>
    <w:p w14:paraId="03CB6056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u w:val="none"/>
        </w:rPr>
      </w:pP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u w:val="none"/>
          <w:lang w:val="en-US" w:eastAsia="zh-CN" w:bidi="ar-SA"/>
        </w:rPr>
        <w:t>（二）精绣“普惠民生”绿色空间，打造“推窗见绿、抬脚入林”的美好生活。</w:t>
      </w:r>
    </w:p>
    <w:p w14:paraId="48B98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none"/>
        </w:rPr>
        <w:t>以服务新时代人民对美好生活的向往为导向，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基于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“四角山水”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打造大尺度生态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游憩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空间，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通过“园林外移”造园理念布局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精细化绿化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场景，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让市民游客感受山之厚重、林之静谧、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水之灵韵、绿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之生机，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  <w:t>营造四季有花、处处皆景的花漾氛围，让绿色成为最普惠的民生福祉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。</w:t>
      </w:r>
    </w:p>
    <w:p w14:paraId="7379D5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kern w:val="2"/>
          <w:sz w:val="32"/>
          <w:szCs w:val="32"/>
          <w:u w:val="none"/>
          <w:lang w:val="en-US" w:eastAsia="zh-CN" w:bidi="ar-SA"/>
        </w:rPr>
        <w:t>1.打造“苏州风景路”惠民场景。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  <w:t>依托长江、太湖等丰富的山林湿地资源禀赋，提供可观可感的近自然山水空间。分批打造山地型、湿地型、河湖型、田园型等郊野公园。复制推广虞山雄鹰线经验，培育经典苏州风景路，有机串联森林、湿地、自然保护地。策划多层次、低干预户外体验活动，宣传推广“全民共享湿地城市”，拓展“山水+”观花、观叶、观果、观鸟、郊野花海等功能场景。为市民游客营造“通山、达水、贯城、赏花”的健康生活方式，优享“山水为屏 繁花织锦”的生态游憩网络。</w:t>
      </w:r>
    </w:p>
    <w:p w14:paraId="337B3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提高城市绿化宜居品质。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u w:val="none"/>
          <w:lang w:val="en-US" w:eastAsia="zh-CN" w:bidi="ar-SA"/>
        </w:rPr>
        <w:t>通过“园林外移”，融通传统造园艺术与现代城市营造。梳理整合古典园林中的造园思想、空间美学、植物配置技艺，以城市主次干道沿线绿地、公园绿地、景观河湖沿岸滨水绿地为重点，分类施策推进“疏绿透景”，优化植被空间层次，打开绿地空间，透出自然河湖风貌，营造简洁大气、疏朗有序的景观效果。推广使用传统乡土树种，以精细化养护管理，培育干将路玉兰、人民路月季、道前街银杏、现代大道樱花等“一路一景”花卉色叶景观道路。</w:t>
      </w:r>
    </w:p>
    <w:p w14:paraId="1D5C72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构建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“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公园+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”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活力绿地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因地制宜在综合公园、社区公园、口袋公园嵌入式增设健身步道、球类场地、儿童游乐、便民休闲、休憩座椅等设施，建成“公园+运动”活力绿地。深化“无界公园”建设，推动更多具备条件的公园实施“拆围透绿”和24小时开放，优化出入口布局，打通公园与城市街区、交通枢纽、居住社区的慢行衔接。创新“公园+”发展模式，培育常态化、特色化的“公园+”品牌活动与场景，打造“一园一品”活力矩阵，每年举办各类“公园+”主题活动，逐步实现公园绿地与文化、旅游、体育、消费等多元深度融合，不断丰富市民绿色生活体验。</w:t>
      </w:r>
    </w:p>
    <w:p w14:paraId="721387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.营造“全民参与”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绿化格局。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推动社会绿化向街巷里弄、单位附属绿地、居民庭院阳台、社区花园延伸。引导社会各界打造门前小花园，以点连线成面发挥引领作用，让更多“门前小花园”串联成城市“大风景”。聚焦城市道路、街巷、围墙、围栏等空间，运用月季、蔷薇、风车茉莉等爬藤植物，营造特色花墙景观，同时，动态发布“花漾苏州”赏花地图、赏花线路，挖掘提炼典型案例并加强宣传推介，绘就“山水园林城市”的靓丽底色。</w:t>
      </w:r>
    </w:p>
    <w:p w14:paraId="784B9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u w:val="none"/>
          <w:lang w:val="en-US" w:eastAsia="zh-CN" w:bidi="ar-SA"/>
        </w:rPr>
        <w:t>（三）赓续苏州园林千年文脉，推动生态保护与“遗产传承”的古今交融。</w:t>
      </w:r>
    </w:p>
    <w:p w14:paraId="28123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.讲好“江南水乡”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生态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故事。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突出“国际湿地城市”特色品牌，依托长江、太湖、西部山区和南部水乡湿地等丰富的山水资源，提炼苏州园林“天人合一”的生态智慧，宣传展示山林湿地的保护成果与人文温度。开展与国内外湿地城市的交流合作，打造“湿地联盟自然学校”“湿地公民科学家”等IP活动，持续推进国际湿地城市联盟自然学校建设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常态化开展“湿地公民科学家养成计划”系列活动，开展科普宣教活动。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创新传播形式与内容表达，让生态保护理念“飞入寻常百姓家”。</w:t>
      </w:r>
    </w:p>
    <w:p w14:paraId="6E10C9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color w:val="C00000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深挖苏州园林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内涵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底蕴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u w:val="none"/>
          <w:lang w:val="en-US" w:eastAsia="zh-CN" w:bidi="ar-SA"/>
        </w:rPr>
        <w:t>拓宽国际交流渠道，深入研究苏州园林的历史、文化、艺术、科学应用等内容，推动苏州园林造园艺术的活态传承与当代转译，提炼推广更多具有国际示范意义的园林保护传承案例，为世界文化遗产保护提供“苏州经验”。挖掘天平山范仲淹文化、拙政园文徵明造景艺术、环秀山庄戈裕良叠山技艺等“名园名士”艺术美学，传承非遗“苏派盆景”“香山帮”园林技艺，开展园林文化专题研究，梳理古籍资源，为当代“山水园林城市”建设提供文化滋养和技艺支撑。</w:t>
      </w:r>
    </w:p>
    <w:p w14:paraId="4DF1BC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3.活化苏州园林遗产资源。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u w:val="none"/>
          <w:lang w:val="en-US" w:eastAsia="zh-CN" w:bidi="ar-SA"/>
        </w:rPr>
        <w:t>推动园林文脉融入城市精神。依托现有园林资源，深化“姊妹园”合作，每年举办海外园事花事活动。强化“我在苏州游园林”品牌，传承网师园夜游、拙政问雅等“十大经典”，策划世遗名园、沧浪名亭、虎丘名塔、天平山赏枫、上方山赏月“五大主题”，创新海棠、荷花、桂花、梅花“四大花集”，串联全域园林，策划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kern w:val="2"/>
          <w:sz w:val="32"/>
          <w:szCs w:val="32"/>
          <w:u w:val="none"/>
          <w:lang w:val="en-US" w:eastAsia="zh-CN" w:bidi="ar-SA"/>
        </w:rPr>
        <w:t>园事花事特色活动，做好当代传播与阐释。</w:t>
      </w:r>
    </w:p>
    <w:p w14:paraId="615A6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楷体_GB2312" w:cs="Times New Roman"/>
          <w:b/>
          <w:bCs/>
          <w:color w:val="000000"/>
          <w:kern w:val="0"/>
          <w:sz w:val="32"/>
          <w:szCs w:val="32"/>
          <w:u w:val="none"/>
          <w:lang w:val="en-US" w:eastAsia="zh-CN" w:bidi="ar-SA"/>
        </w:rPr>
        <w:t>（四）激发“美丽经济”消费活力，探索绿美资源与服务融合的富民新路。</w:t>
      </w:r>
    </w:p>
    <w:p w14:paraId="6BC509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1"/>
          <w:szCs w:val="31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1"/>
          <w:szCs w:val="31"/>
          <w:u w:val="none"/>
          <w:lang w:val="en-US" w:eastAsia="zh-CN" w:bidi="ar"/>
        </w:rPr>
        <w:t>打造“美丽经济”新引擎，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1"/>
          <w:szCs w:val="31"/>
          <w:u w:val="none"/>
          <w:lang w:val="en-US" w:eastAsia="zh-CN" w:bidi="ar"/>
        </w:rPr>
        <w:t>贯彻“绿水青山就是金山银山”的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  <w:t>价值转换路径，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  <w:t>扎根世界文化遗产苏州园林的艺术美学土壤，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  <w:t>辐射周边经济产业，打造全域消费场景，让林业和园林资源转化为实实在在的经济收益，大力</w:t>
      </w:r>
      <w:r>
        <w:rPr>
          <w:rFonts w:hint="default" w:ascii="Times New Roman" w:hAnsi="Times New Roman" w:eastAsia="仿宋_GB2312" w:cs="Times New Roman"/>
          <w:color w:val="auto"/>
          <w:kern w:val="0"/>
          <w:sz w:val="31"/>
          <w:szCs w:val="31"/>
          <w:u w:val="none"/>
          <w:lang w:val="en-US" w:eastAsia="zh-CN" w:bidi="ar"/>
        </w:rPr>
        <w:t>推动“颜值”变“产值”。</w:t>
      </w:r>
    </w:p>
    <w:p w14:paraId="51276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.统筹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“美丽经济”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产业布局。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做强花卉盆景产业和庭院经济，构建“平台－批发－零售”三级联动产业空间体系。重点搭建“苏州花展”“花园大会”“四季花集”等高能级平台，推动“展会流量”向“消费增量”转化。鼓励昆山、太仓、姑苏、吴中等板块，帮助“苏南花卉中心”“藏书花木市场”等批发综合体提档升级，激发市场末端活力，推动公园、步行街、社区、商业植入花卉盆景消费场景，推出赏花旅游精品线路，激活全市零售终端，形成百花齐放的产业体系。</w:t>
      </w:r>
    </w:p>
    <w:p w14:paraId="3EBFB6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赋能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u w:val="none"/>
          <w:lang w:val="en-US" w:eastAsia="zh-CN"/>
        </w:rPr>
        <w:t>“全域联动”游园雅集。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u w:val="none"/>
          <w:lang w:val="en-US" w:eastAsia="zh-CN" w:bidi="ar-SA"/>
        </w:rPr>
        <w:t>打破空间壁垒，串联全域园林资源，融合园林赏景、助农惠民、花卉展览等内容，围绕时令、节日统筹实现“观、赏、游”深度融合，吸引市民游客深度参与。推出联票、集章等联动手段，引导市民游客走进更多园林，变“客流”为“客留”，辐射周边，实现从“单点出彩”到“全域开花”，辐射民宿、餐饮、交通等相关产业，助力区域消费升级。让园林文化资源切实转化为经济发展动能，实现园林美、产业兴、百姓富的良性循环。</w:t>
      </w:r>
    </w:p>
    <w:p w14:paraId="283B41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22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1"/>
          <w:szCs w:val="31"/>
          <w:u w:val="none"/>
          <w:lang w:val="en-US" w:eastAsia="zh-CN" w:bidi="ar"/>
        </w:rPr>
        <w:t>3.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1"/>
          <w:szCs w:val="31"/>
          <w:u w:val="none"/>
          <w:lang w:val="en-US" w:eastAsia="zh-CN" w:bidi="ar"/>
        </w:rPr>
        <w:t>壮大林业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1"/>
          <w:szCs w:val="31"/>
          <w:u w:val="none"/>
          <w:lang w:val="en-US" w:eastAsia="zh-CN" w:bidi="ar"/>
        </w:rPr>
        <w:t>生态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1"/>
          <w:szCs w:val="31"/>
          <w:u w:val="none"/>
          <w:lang w:val="en-US" w:eastAsia="zh-CN" w:bidi="ar"/>
        </w:rPr>
        <w:t>经济产业。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1"/>
          <w:szCs w:val="31"/>
          <w:u w:val="none"/>
          <w:lang w:val="en-US" w:eastAsia="zh-CN" w:bidi="ar"/>
        </w:rPr>
        <w:t>推进国有林场现代化产业建设，培育林业生态产业品牌，引导市场主体优化林草种苗结构，向家庭园艺、种苗电商、游憩融合等方向转型。因地制宜发展林下经济，挖掘森林“四库”功能。丰富优质生态产品供给，整合郊野公园、风景路、观鸟点等资源，推出多元化生态旅游和自然教育活动，推动生态价值转化，助力乡村振兴和城市更新。</w:t>
      </w:r>
    </w:p>
    <w:p w14:paraId="1B637A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32"/>
          <w:szCs w:val="32"/>
          <w:u w:val="none"/>
          <w:lang w:val="en-US" w:eastAsia="zh-CN" w:bidi="ar-SA"/>
        </w:rPr>
        <w:t>三、保障措施</w:t>
      </w:r>
    </w:p>
    <w:p w14:paraId="517CE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  <w:t>加强组织领导，由市园林绿化局统筹协调各地各部门、社会力量与行业专家，协同推进各项工作，凝聚工作合力，推动“山水园林城市”建设常态化、长效化。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/>
        </w:rPr>
        <w:t>加强宣传引导，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  <w:t>充分挖掘工作推进过程中的亮点成效与创新经验，全方位提升社会各界的知晓度、认同感与参与度，持续扩大“山水园林苏州”的品牌影响力。强化机关事业单位的引领示范作用，激发全社会爱花护绿的内生动力，争取各界力量支持，进一步拓宽市民参与渠道，最终形成“政府引导、社会参与、全民共建”的良好氛围。</w:t>
      </w:r>
    </w:p>
    <w:p w14:paraId="0D8ED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</w:pPr>
    </w:p>
    <w:p w14:paraId="58A42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</w:pPr>
    </w:p>
    <w:p w14:paraId="3C1F1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02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6730C7-CF7F-47A8-B266-368651581D1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8AB86AD-15CD-4797-9EB1-99D15B0697B6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16CF47A4-2F16-4B50-AE40-A90BB24E6930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94B2781-A920-4B5C-8323-380FB66D13CF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9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0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64F7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3E0C4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3E0C4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76EB12"/>
    <w:multiLevelType w:val="singleLevel"/>
    <w:tmpl w:val="7076EB1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4016C3"/>
    <w:rsid w:val="00060C6A"/>
    <w:rsid w:val="00104534"/>
    <w:rsid w:val="015803E0"/>
    <w:rsid w:val="01E45C9D"/>
    <w:rsid w:val="02073488"/>
    <w:rsid w:val="03502CFD"/>
    <w:rsid w:val="06D27AF8"/>
    <w:rsid w:val="088161C0"/>
    <w:rsid w:val="08A26BBA"/>
    <w:rsid w:val="08B314FD"/>
    <w:rsid w:val="0A5B2FD2"/>
    <w:rsid w:val="0A9A2CF5"/>
    <w:rsid w:val="0AC76825"/>
    <w:rsid w:val="0AE30D6F"/>
    <w:rsid w:val="0AE93662"/>
    <w:rsid w:val="0BE219AC"/>
    <w:rsid w:val="0DEC78CD"/>
    <w:rsid w:val="0F0B5B77"/>
    <w:rsid w:val="0F5A68DD"/>
    <w:rsid w:val="102978DA"/>
    <w:rsid w:val="10B12A65"/>
    <w:rsid w:val="10DC2A26"/>
    <w:rsid w:val="114947E1"/>
    <w:rsid w:val="11E41700"/>
    <w:rsid w:val="126A77B1"/>
    <w:rsid w:val="135E4148"/>
    <w:rsid w:val="1522269D"/>
    <w:rsid w:val="152C7CBD"/>
    <w:rsid w:val="158D238C"/>
    <w:rsid w:val="15B81221"/>
    <w:rsid w:val="16124EDD"/>
    <w:rsid w:val="17A862E7"/>
    <w:rsid w:val="17FD699F"/>
    <w:rsid w:val="184622E0"/>
    <w:rsid w:val="1AAB3B5F"/>
    <w:rsid w:val="1AEC3E7A"/>
    <w:rsid w:val="1B943202"/>
    <w:rsid w:val="1BCB5BB6"/>
    <w:rsid w:val="1C4016C3"/>
    <w:rsid w:val="1D290A3D"/>
    <w:rsid w:val="1DFE71E1"/>
    <w:rsid w:val="1E212B55"/>
    <w:rsid w:val="1E3E386E"/>
    <w:rsid w:val="1F5937B3"/>
    <w:rsid w:val="200D71B8"/>
    <w:rsid w:val="20593A09"/>
    <w:rsid w:val="209B13A7"/>
    <w:rsid w:val="20E94FFB"/>
    <w:rsid w:val="23640B7F"/>
    <w:rsid w:val="243D0FA6"/>
    <w:rsid w:val="248C7503"/>
    <w:rsid w:val="25C04CC6"/>
    <w:rsid w:val="26DE0C44"/>
    <w:rsid w:val="27032260"/>
    <w:rsid w:val="270D3C72"/>
    <w:rsid w:val="28462B22"/>
    <w:rsid w:val="284F0843"/>
    <w:rsid w:val="292F2A23"/>
    <w:rsid w:val="295E2F13"/>
    <w:rsid w:val="29DE4D96"/>
    <w:rsid w:val="2A125B46"/>
    <w:rsid w:val="2A5E0D6B"/>
    <w:rsid w:val="2AE01F34"/>
    <w:rsid w:val="2B3B187A"/>
    <w:rsid w:val="2B7579F7"/>
    <w:rsid w:val="2C3D4912"/>
    <w:rsid w:val="2CF06150"/>
    <w:rsid w:val="2D6B02B8"/>
    <w:rsid w:val="2DF831BD"/>
    <w:rsid w:val="2EC445D1"/>
    <w:rsid w:val="2ED0401E"/>
    <w:rsid w:val="2F1072BF"/>
    <w:rsid w:val="2F520BD6"/>
    <w:rsid w:val="2F570F72"/>
    <w:rsid w:val="2F790B4E"/>
    <w:rsid w:val="301125F3"/>
    <w:rsid w:val="31D1279F"/>
    <w:rsid w:val="31FD005C"/>
    <w:rsid w:val="32701D7C"/>
    <w:rsid w:val="34057022"/>
    <w:rsid w:val="34BF705E"/>
    <w:rsid w:val="3566196C"/>
    <w:rsid w:val="357F29AC"/>
    <w:rsid w:val="358E45A4"/>
    <w:rsid w:val="363A4E95"/>
    <w:rsid w:val="3656636E"/>
    <w:rsid w:val="367C4ADB"/>
    <w:rsid w:val="369E06DD"/>
    <w:rsid w:val="3753277D"/>
    <w:rsid w:val="37577F0A"/>
    <w:rsid w:val="3769162F"/>
    <w:rsid w:val="37D321C8"/>
    <w:rsid w:val="381C0324"/>
    <w:rsid w:val="384E0961"/>
    <w:rsid w:val="387107B2"/>
    <w:rsid w:val="393D0CF1"/>
    <w:rsid w:val="39670FF4"/>
    <w:rsid w:val="3A15327D"/>
    <w:rsid w:val="3A3D6832"/>
    <w:rsid w:val="3B2E3D72"/>
    <w:rsid w:val="3BFB7462"/>
    <w:rsid w:val="3D936AFC"/>
    <w:rsid w:val="3DDB31D9"/>
    <w:rsid w:val="3E393C9A"/>
    <w:rsid w:val="3E7A2248"/>
    <w:rsid w:val="3EFD3E96"/>
    <w:rsid w:val="3F8673BB"/>
    <w:rsid w:val="3FC65EC5"/>
    <w:rsid w:val="405E0D7D"/>
    <w:rsid w:val="40B2239F"/>
    <w:rsid w:val="41602ED0"/>
    <w:rsid w:val="41FA6AC2"/>
    <w:rsid w:val="426F7296"/>
    <w:rsid w:val="4278364B"/>
    <w:rsid w:val="42A03A10"/>
    <w:rsid w:val="432D491D"/>
    <w:rsid w:val="43A85FD9"/>
    <w:rsid w:val="44C71617"/>
    <w:rsid w:val="45260A34"/>
    <w:rsid w:val="461F3847"/>
    <w:rsid w:val="468A698A"/>
    <w:rsid w:val="48531B40"/>
    <w:rsid w:val="48B337D7"/>
    <w:rsid w:val="492B43F9"/>
    <w:rsid w:val="4A127B21"/>
    <w:rsid w:val="4A472D1D"/>
    <w:rsid w:val="4A9601C0"/>
    <w:rsid w:val="4B6603A8"/>
    <w:rsid w:val="4BDD0CE2"/>
    <w:rsid w:val="4CB53EE4"/>
    <w:rsid w:val="4D0639BC"/>
    <w:rsid w:val="4D0F6DFB"/>
    <w:rsid w:val="4D77687A"/>
    <w:rsid w:val="4DD118E4"/>
    <w:rsid w:val="4E437F61"/>
    <w:rsid w:val="4E544272"/>
    <w:rsid w:val="4E5747CD"/>
    <w:rsid w:val="4F934A89"/>
    <w:rsid w:val="503D6909"/>
    <w:rsid w:val="511922CC"/>
    <w:rsid w:val="51E24A36"/>
    <w:rsid w:val="51E878C7"/>
    <w:rsid w:val="51EF7390"/>
    <w:rsid w:val="52B07656"/>
    <w:rsid w:val="54C8096C"/>
    <w:rsid w:val="55B10E81"/>
    <w:rsid w:val="57730706"/>
    <w:rsid w:val="58CD7628"/>
    <w:rsid w:val="58EE392B"/>
    <w:rsid w:val="58FD6493"/>
    <w:rsid w:val="591470C9"/>
    <w:rsid w:val="5A93434D"/>
    <w:rsid w:val="5B193D65"/>
    <w:rsid w:val="5D054D77"/>
    <w:rsid w:val="5D3C2FD4"/>
    <w:rsid w:val="5D3D53A3"/>
    <w:rsid w:val="5E5B3ADB"/>
    <w:rsid w:val="5E705655"/>
    <w:rsid w:val="5F0030FD"/>
    <w:rsid w:val="5FCF55D1"/>
    <w:rsid w:val="600A2FD4"/>
    <w:rsid w:val="60121719"/>
    <w:rsid w:val="63DF309D"/>
    <w:rsid w:val="643E2E24"/>
    <w:rsid w:val="651D10B4"/>
    <w:rsid w:val="654142AB"/>
    <w:rsid w:val="65923C10"/>
    <w:rsid w:val="65A92B06"/>
    <w:rsid w:val="65F009F3"/>
    <w:rsid w:val="66D465A8"/>
    <w:rsid w:val="66D9725C"/>
    <w:rsid w:val="67290ACE"/>
    <w:rsid w:val="6773063B"/>
    <w:rsid w:val="6779459B"/>
    <w:rsid w:val="67C817CF"/>
    <w:rsid w:val="68AC33FE"/>
    <w:rsid w:val="68C84D72"/>
    <w:rsid w:val="699728B5"/>
    <w:rsid w:val="699B6EF7"/>
    <w:rsid w:val="6A773014"/>
    <w:rsid w:val="6A845519"/>
    <w:rsid w:val="6C4E3232"/>
    <w:rsid w:val="6C7E0384"/>
    <w:rsid w:val="6CE95D1F"/>
    <w:rsid w:val="6D59535E"/>
    <w:rsid w:val="6FE12F08"/>
    <w:rsid w:val="70221C74"/>
    <w:rsid w:val="70D97DB0"/>
    <w:rsid w:val="70E91DFA"/>
    <w:rsid w:val="71EE2D04"/>
    <w:rsid w:val="71FB452B"/>
    <w:rsid w:val="72795175"/>
    <w:rsid w:val="728C6D3C"/>
    <w:rsid w:val="72FA21B3"/>
    <w:rsid w:val="735A004C"/>
    <w:rsid w:val="74086B9E"/>
    <w:rsid w:val="75D80684"/>
    <w:rsid w:val="77FF750C"/>
    <w:rsid w:val="786E7C65"/>
    <w:rsid w:val="7955517B"/>
    <w:rsid w:val="79B3393D"/>
    <w:rsid w:val="7A8F41E9"/>
    <w:rsid w:val="7A9B7E43"/>
    <w:rsid w:val="7B4210B1"/>
    <w:rsid w:val="7C0236F5"/>
    <w:rsid w:val="7C2F5EC8"/>
    <w:rsid w:val="7C417BA0"/>
    <w:rsid w:val="7C741AA9"/>
    <w:rsid w:val="7CEB3E7B"/>
    <w:rsid w:val="7D6078D7"/>
    <w:rsid w:val="7D666A3C"/>
    <w:rsid w:val="7DD6660C"/>
    <w:rsid w:val="7EFB1AD7"/>
    <w:rsid w:val="7F55004E"/>
    <w:rsid w:val="7F6DF831"/>
    <w:rsid w:val="7FA92456"/>
    <w:rsid w:val="A2A7D540"/>
    <w:rsid w:val="AAAF25D7"/>
    <w:rsid w:val="FB5EE7C0"/>
    <w:rsid w:val="FBB5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 w:afterLines="0" w:afterAutospacing="0"/>
    </w:pPr>
    <w:rPr>
      <w:sz w:val="16"/>
    </w:r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font81"/>
    <w:basedOn w:val="8"/>
    <w:qFormat/>
    <w:uiPriority w:val="0"/>
    <w:rPr>
      <w:rFonts w:ascii="方正仿宋_GB2312" w:hAnsi="方正仿宋_GB2312" w:eastAsia="方正仿宋_GB2312" w:cs="方正仿宋_GB2312"/>
      <w:color w:val="000000"/>
      <w:sz w:val="22"/>
      <w:szCs w:val="22"/>
      <w:u w:val="none"/>
    </w:rPr>
  </w:style>
  <w:style w:type="character" w:customStyle="1" w:styleId="11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91"/>
    <w:basedOn w:val="8"/>
    <w:qFormat/>
    <w:uiPriority w:val="0"/>
    <w:rPr>
      <w:rFonts w:ascii="微软雅黑" w:hAnsi="微软雅黑" w:eastAsia="微软雅黑" w:cs="微软雅黑"/>
      <w:b/>
      <w:bCs/>
      <w:color w:val="000000"/>
      <w:sz w:val="22"/>
      <w:szCs w:val="22"/>
      <w:u w:val="none"/>
    </w:rPr>
  </w:style>
  <w:style w:type="character" w:customStyle="1" w:styleId="13">
    <w:name w:val="font41"/>
    <w:basedOn w:val="8"/>
    <w:qFormat/>
    <w:uiPriority w:val="0"/>
    <w:rPr>
      <w:rFonts w:hint="eastAsia" w:ascii="黑体" w:hAnsi="宋体" w:eastAsia="黑体" w:cs="黑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71d5af25-12e7-43a4-b601-860063d9050a</errorID>
      <errorWord>人民城市普惠民</errorWord>
      <group>L1_Political</group>
      <groupName>政治性问题</groupName>
      <ability>L2_Keyword</ability>
      <abilityName>固定表述</abilityName>
      <candidateList>
        <item>人民城市为人民</item>
      </candidateList>
      <explain>词汇“人民城市为人民”在特定场景下为固定表述形式，请确认此处的“人民城市普惠民”是否存在不当。</explain>
      <paraID>66233D49</paraID>
      <start>55</start>
      <end>62</end>
      <status>ignored</status>
      <modifiedWord/>
      <trackRevisions>false</trackRevisions>
    </reviewItem>
    <reviewItem>
      <errorID>fc8e6b8e-a80a-4b41-9e12-61ca36db282c</errorID>
      <errorWord>。</errorWord>
      <group>L1_Grammar</group>
      <groupName>语法问题</groupName>
      <ability>L2_Collocation</ability>
      <abilityName>搭配不当</abilityName>
      <candidateList>
        <item>工作。</item>
      </candidateList>
      <explain>句子中可能存在主谓、动宾、定语中心语、状语中心语、补语中心语、关联词搭配不当等问题。</explain>
      <paraID>66233D49</paraID>
      <start>193</start>
      <end>194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d7f127-85d3-4486-a3fd-d0dcf827c5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4872</Words>
  <Characters>4953</Characters>
  <Lines>0</Lines>
  <Paragraphs>0</Paragraphs>
  <TotalTime>27</TotalTime>
  <ScaleCrop>false</ScaleCrop>
  <LinksUpToDate>false</LinksUpToDate>
  <CharactersWithSpaces>4954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2026-03-05T14:04:00Z</dcterms:created>
  <dc:creator>揽月摘星</dc:creator>
  <cp:lastModifiedBy>董秋安</cp:lastModifiedBy>
  <cp:lastPrinted>2026-07-14T08:34:00Z</cp:lastPrinted>
  <dcterms:modified xsi:type="dcterms:W3CDTF">2026-07-14T08:55:32Z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4A659292464848E68F388043146B08FA_13</vt:lpwstr>
  </property>
  <property fmtid="{D5CDD505-2E9C-101B-9397-08002B2CF9AE}" pid="4" name="KSOTemplateDocerSaveRecord">
    <vt:lpwstr>eyJoZGlkIjoiNWY3YTBmYjZkMjAxZjRkYzAwYWM3Y2VjYjU1OTFiYjEiLCJ1c2VySWQiOiI2MDU2OTczMjYifQ==</vt:lpwstr>
  </property>
</Properties>
</file>