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3" w:firstLineChars="200"/>
        <w:jc w:val="center"/>
        <w:rPr>
          <w:rFonts w:hint="default" w:ascii="仿宋" w:hAnsi="仿宋" w:eastAsia="仿宋"/>
          <w:b/>
          <w:bCs w:val="0"/>
          <w:sz w:val="44"/>
          <w:szCs w:val="44"/>
          <w:lang w:val="en-US" w:eastAsia="zh-CN"/>
        </w:rPr>
      </w:pPr>
      <w:bookmarkStart w:id="0" w:name="_GoBack"/>
      <w:bookmarkEnd w:id="0"/>
      <w:r>
        <w:rPr>
          <w:rFonts w:hint="eastAsia" w:ascii="仿宋" w:hAnsi="仿宋" w:eastAsia="仿宋"/>
          <w:b/>
          <w:bCs w:val="0"/>
          <w:sz w:val="44"/>
          <w:szCs w:val="44"/>
          <w:lang w:val="en-US" w:eastAsia="zh-CN"/>
        </w:rPr>
        <w:t>采购需求</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1、网站每天错别字检测服务</w:t>
      </w:r>
    </w:p>
    <w:p>
      <w:pPr>
        <w:spacing w:line="600" w:lineRule="exact"/>
        <w:ind w:firstLine="560" w:firstLineChars="200"/>
        <w:jc w:val="left"/>
        <w:rPr>
          <w:rFonts w:hint="eastAsia" w:ascii="仿宋" w:hAnsi="仿宋" w:eastAsia="仿宋"/>
          <w:sz w:val="28"/>
        </w:rPr>
      </w:pPr>
      <w:r>
        <w:rPr>
          <w:rFonts w:hint="eastAsia" w:ascii="仿宋" w:hAnsi="仿宋" w:eastAsia="仿宋"/>
          <w:sz w:val="28"/>
        </w:rPr>
        <w:t>乙方用自建机房的服务器群对甲方网站提供错别字检测服务，如发现在新增信息中存在错别字，则将错别字情况通过短信或邮件发送给甲方，并协助甲方对错别字进行修改。</w:t>
      </w:r>
    </w:p>
    <w:p>
      <w:pPr>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主要服务特点有：</w:t>
      </w:r>
    </w:p>
    <w:p>
      <w:pPr>
        <w:spacing w:line="360" w:lineRule="auto"/>
        <w:jc w:val="left"/>
        <w:rPr>
          <w:rFonts w:ascii="仿宋" w:hAnsi="仿宋" w:eastAsia="仿宋" w:cs="Arial"/>
          <w:color w:val="000000"/>
          <w:sz w:val="28"/>
          <w:szCs w:val="28"/>
        </w:rPr>
      </w:pPr>
      <w:r>
        <w:rPr>
          <w:rFonts w:hint="eastAsia" w:ascii="仿宋" w:hAnsi="仿宋" w:eastAsia="仿宋" w:cs="Arial"/>
          <w:color w:val="000000"/>
          <w:sz w:val="28"/>
          <w:szCs w:val="28"/>
        </w:rPr>
        <w:t>（1）系统集成海量词库，查找错别字高效准确。</w:t>
      </w:r>
    </w:p>
    <w:p>
      <w:pPr>
        <w:spacing w:line="360" w:lineRule="auto"/>
        <w:jc w:val="left"/>
        <w:rPr>
          <w:rFonts w:ascii="仿宋" w:hAnsi="仿宋" w:eastAsia="仿宋" w:cs="Arial"/>
          <w:color w:val="000000"/>
          <w:sz w:val="28"/>
          <w:szCs w:val="28"/>
        </w:rPr>
      </w:pPr>
      <w:r>
        <w:rPr>
          <w:rFonts w:hint="eastAsia" w:ascii="仿宋" w:hAnsi="仿宋" w:eastAsia="仿宋" w:cs="Arial"/>
          <w:color w:val="000000"/>
          <w:sz w:val="28"/>
          <w:szCs w:val="28"/>
        </w:rPr>
        <w:t>（2）系统高频率对网站进行监测，错别字发现及时。</w:t>
      </w:r>
    </w:p>
    <w:p>
      <w:pPr>
        <w:spacing w:line="360" w:lineRule="auto"/>
        <w:jc w:val="left"/>
        <w:rPr>
          <w:rFonts w:ascii="仿宋" w:hAnsi="仿宋" w:eastAsia="仿宋" w:cs="Arial"/>
          <w:color w:val="000000"/>
          <w:sz w:val="28"/>
          <w:szCs w:val="28"/>
        </w:rPr>
      </w:pPr>
      <w:r>
        <w:rPr>
          <w:rFonts w:hint="eastAsia" w:ascii="仿宋" w:hAnsi="仿宋" w:eastAsia="仿宋" w:cs="Arial"/>
          <w:color w:val="000000"/>
          <w:sz w:val="28"/>
          <w:szCs w:val="28"/>
        </w:rPr>
        <w:t>（3）系统定位准确，对发现的错别字进行高亮显示。</w:t>
      </w:r>
    </w:p>
    <w:p>
      <w:pPr>
        <w:spacing w:line="360" w:lineRule="auto"/>
        <w:jc w:val="left"/>
        <w:rPr>
          <w:rFonts w:ascii="仿宋" w:hAnsi="仿宋" w:eastAsia="仿宋" w:cs="Arial"/>
          <w:color w:val="000000"/>
          <w:sz w:val="28"/>
          <w:szCs w:val="28"/>
        </w:rPr>
      </w:pPr>
      <w:r>
        <w:rPr>
          <w:rFonts w:hint="eastAsia" w:ascii="仿宋" w:hAnsi="仿宋" w:eastAsia="仿宋" w:cs="Arial"/>
          <w:color w:val="000000"/>
          <w:sz w:val="28"/>
          <w:szCs w:val="28"/>
        </w:rPr>
        <w:t>（4）专业编辑逐条审核，错别字报送准确率100%。</w:t>
      </w:r>
    </w:p>
    <w:p>
      <w:pPr>
        <w:spacing w:line="360" w:lineRule="auto"/>
        <w:jc w:val="left"/>
        <w:rPr>
          <w:rFonts w:hint="eastAsia" w:ascii="仿宋" w:hAnsi="仿宋" w:eastAsia="仿宋" w:cs="Arial"/>
          <w:color w:val="000000"/>
          <w:sz w:val="28"/>
          <w:szCs w:val="28"/>
        </w:rPr>
      </w:pPr>
      <w:r>
        <w:rPr>
          <w:rFonts w:hint="eastAsia" w:ascii="仿宋" w:hAnsi="仿宋" w:eastAsia="仿宋" w:cs="Arial"/>
          <w:color w:val="000000"/>
          <w:sz w:val="28"/>
          <w:szCs w:val="28"/>
        </w:rPr>
        <w:t>（5）告警方式多样，支持邮件、电话、短信多种方式。</w:t>
      </w:r>
    </w:p>
    <w:p>
      <w:pPr>
        <w:ind w:firstLine="560" w:firstLineChars="200"/>
        <w:jc w:val="left"/>
        <w:rPr>
          <w:rFonts w:ascii="仿宋" w:hAnsi="仿宋" w:eastAsia="仿宋" w:cs="Arial"/>
          <w:color w:val="000000"/>
          <w:sz w:val="28"/>
          <w:szCs w:val="28"/>
        </w:rPr>
      </w:pPr>
      <w:r>
        <w:rPr>
          <w:rFonts w:hint="eastAsia" w:ascii="仿宋" w:hAnsi="仿宋" w:eastAsia="仿宋" w:cs="Arial"/>
          <w:color w:val="000000"/>
          <w:sz w:val="28"/>
          <w:szCs w:val="28"/>
        </w:rPr>
        <w:t>具体服务内容：</w:t>
      </w:r>
    </w:p>
    <w:p>
      <w:pPr>
        <w:numPr>
          <w:ilvl w:val="0"/>
          <w:numId w:val="1"/>
        </w:numPr>
        <w:jc w:val="left"/>
        <w:rPr>
          <w:rFonts w:ascii="仿宋" w:hAnsi="仿宋" w:eastAsia="仿宋" w:cs="Arial"/>
          <w:color w:val="000000"/>
          <w:sz w:val="28"/>
          <w:szCs w:val="28"/>
        </w:rPr>
      </w:pPr>
      <w:r>
        <w:rPr>
          <w:rFonts w:hint="eastAsia" w:ascii="仿宋" w:hAnsi="仿宋" w:eastAsia="仿宋" w:cs="Arial"/>
          <w:color w:val="000000"/>
          <w:sz w:val="28"/>
          <w:szCs w:val="28"/>
        </w:rPr>
        <w:t>每天对甲方网站的新增信息做检测，如当天发布的信息中存在错别字，则通过邮件进行告警及提示。</w:t>
      </w:r>
    </w:p>
    <w:p>
      <w:pPr>
        <w:numPr>
          <w:ilvl w:val="0"/>
          <w:numId w:val="1"/>
        </w:numPr>
        <w:jc w:val="left"/>
        <w:rPr>
          <w:rFonts w:ascii="仿宋" w:hAnsi="仿宋" w:eastAsia="仿宋" w:cs="Arial"/>
          <w:color w:val="000000"/>
          <w:sz w:val="28"/>
          <w:szCs w:val="28"/>
        </w:rPr>
      </w:pPr>
      <w:r>
        <w:rPr>
          <w:rFonts w:hint="eastAsia" w:ascii="仿宋" w:hAnsi="仿宋" w:eastAsia="仿宋" w:cs="Arial"/>
          <w:color w:val="000000"/>
          <w:sz w:val="28"/>
          <w:szCs w:val="28"/>
        </w:rPr>
        <w:t>每天下午17：00之前发送当日错别字检测报告。</w:t>
      </w:r>
    </w:p>
    <w:p>
      <w:pPr>
        <w:numPr>
          <w:ilvl w:val="0"/>
          <w:numId w:val="1"/>
        </w:numPr>
        <w:jc w:val="left"/>
        <w:rPr>
          <w:rFonts w:ascii="仿宋" w:hAnsi="仿宋" w:eastAsia="仿宋" w:cs="Arial"/>
          <w:color w:val="000000"/>
          <w:sz w:val="28"/>
          <w:szCs w:val="28"/>
        </w:rPr>
      </w:pPr>
      <w:r>
        <w:rPr>
          <w:rFonts w:hint="eastAsia" w:ascii="仿宋" w:hAnsi="仿宋" w:eastAsia="仿宋" w:cs="Arial"/>
          <w:color w:val="000000"/>
          <w:sz w:val="28"/>
          <w:szCs w:val="28"/>
        </w:rPr>
        <w:t>错别字检测包括：日常用语、成语、领导人名字、地名、专业术语、敏感证词……</w:t>
      </w:r>
    </w:p>
    <w:p>
      <w:pPr>
        <w:numPr>
          <w:ilvl w:val="0"/>
          <w:numId w:val="1"/>
        </w:numPr>
        <w:jc w:val="left"/>
        <w:rPr>
          <w:rFonts w:hint="eastAsia" w:ascii="仿宋" w:hAnsi="仿宋" w:eastAsia="仿宋" w:cs="Arial"/>
          <w:color w:val="000000"/>
          <w:sz w:val="28"/>
          <w:szCs w:val="28"/>
        </w:rPr>
      </w:pPr>
      <w:r>
        <w:rPr>
          <w:rFonts w:hint="eastAsia" w:ascii="仿宋" w:hAnsi="仿宋" w:eastAsia="仿宋" w:cs="Arial"/>
          <w:color w:val="000000"/>
          <w:sz w:val="28"/>
          <w:szCs w:val="28"/>
        </w:rPr>
        <w:t>所有提交的错别字检测结果，均经过人工的审核确认。</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2、网站24小时值班告警检测服务</w:t>
      </w:r>
    </w:p>
    <w:p>
      <w:pPr>
        <w:spacing w:line="600" w:lineRule="exact"/>
        <w:jc w:val="left"/>
        <w:rPr>
          <w:rFonts w:hint="eastAsia" w:ascii="仿宋" w:hAnsi="仿宋" w:eastAsia="仿宋"/>
          <w:b/>
          <w:sz w:val="28"/>
          <w:szCs w:val="28"/>
        </w:rPr>
      </w:pPr>
      <w:r>
        <w:rPr>
          <w:rFonts w:hint="eastAsia" w:ascii="仿宋" w:hAnsi="仿宋" w:eastAsia="仿宋"/>
          <w:b/>
          <w:sz w:val="28"/>
          <w:szCs w:val="28"/>
        </w:rPr>
        <w:t>软件诊断检测服务：</w:t>
      </w:r>
    </w:p>
    <w:p>
      <w:pPr>
        <w:spacing w:line="600" w:lineRule="exact"/>
        <w:ind w:firstLine="560" w:firstLineChars="200"/>
        <w:jc w:val="left"/>
        <w:rPr>
          <w:rFonts w:hint="eastAsia" w:ascii="仿宋" w:hAnsi="仿宋" w:eastAsia="仿宋"/>
          <w:sz w:val="28"/>
          <w:szCs w:val="28"/>
        </w:rPr>
      </w:pPr>
      <w:r>
        <w:rPr>
          <w:rFonts w:hint="eastAsia" w:ascii="仿宋" w:hAnsi="仿宋" w:eastAsia="仿宋"/>
          <w:sz w:val="28"/>
          <w:szCs w:val="28"/>
        </w:rPr>
        <w:t>乙方服务中心为甲方配备两组值班人员，8人轮流值班，24 小时保障苏州市旅游局网站安全。当网站出现问题时（如发现网站无法访问、网站首页显示异常），诊断系统发送告警短信给乙方值班人员，乙方值班人员登录网站进行故障确认，然后立刻通知甲方网站的相关负责人员，迅速采取修复、断网等措施，减少损失。</w:t>
      </w:r>
    </w:p>
    <w:p>
      <w:pPr>
        <w:spacing w:line="600" w:lineRule="exact"/>
        <w:ind w:firstLine="560" w:firstLineChars="200"/>
        <w:jc w:val="left"/>
        <w:rPr>
          <w:rFonts w:hint="eastAsia" w:ascii="仿宋" w:hAnsi="仿宋" w:eastAsia="仿宋"/>
          <w:sz w:val="28"/>
          <w:szCs w:val="28"/>
        </w:rPr>
      </w:pPr>
      <w:r>
        <w:rPr>
          <w:rFonts w:hint="eastAsia" w:ascii="仿宋" w:hAnsi="仿宋" w:eastAsia="仿宋"/>
          <w:sz w:val="28"/>
          <w:szCs w:val="28"/>
        </w:rPr>
        <w:t>值班时间包括周末及各种节假日。</w:t>
      </w:r>
    </w:p>
    <w:tbl>
      <w:tblPr>
        <w:tblStyle w:val="2"/>
        <w:tblW w:w="92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3103"/>
        <w:gridCol w:w="1708"/>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158" w:type="dxa"/>
            <w:shd w:val="clear" w:color="auto" w:fill="F2F2F2"/>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监测级别</w:t>
            </w:r>
          </w:p>
        </w:tc>
        <w:tc>
          <w:tcPr>
            <w:tcW w:w="3103" w:type="dxa"/>
            <w:shd w:val="clear" w:color="auto" w:fill="F2F2F2"/>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适用范围</w:t>
            </w:r>
          </w:p>
        </w:tc>
        <w:tc>
          <w:tcPr>
            <w:tcW w:w="1708" w:type="dxa"/>
            <w:shd w:val="clear" w:color="auto" w:fill="F2F2F2"/>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监测频率</w:t>
            </w:r>
          </w:p>
        </w:tc>
        <w:tc>
          <w:tcPr>
            <w:tcW w:w="3256" w:type="dxa"/>
            <w:shd w:val="clear" w:color="auto" w:fill="F2F2F2"/>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监测内容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115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高频级扫描监测</w:t>
            </w:r>
          </w:p>
        </w:tc>
        <w:tc>
          <w:tcPr>
            <w:tcW w:w="3103" w:type="dxa"/>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（1）主站首页</w:t>
            </w:r>
          </w:p>
        </w:tc>
        <w:tc>
          <w:tcPr>
            <w:tcW w:w="170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每隔3-5分钟扫描一次</w:t>
            </w:r>
          </w:p>
        </w:tc>
        <w:tc>
          <w:tcPr>
            <w:tcW w:w="3256" w:type="dxa"/>
            <w:shd w:val="clear" w:color="auto" w:fill="auto"/>
            <w:vAlign w:val="center"/>
          </w:tcPr>
          <w:p>
            <w:pPr>
              <w:widowControl/>
              <w:jc w:val="left"/>
              <w:rPr>
                <w:rFonts w:hint="eastAsia" w:ascii="仿宋" w:hAnsi="仿宋" w:eastAsia="仿宋" w:cs="宋体"/>
                <w:color w:val="000000"/>
                <w:kern w:val="0"/>
                <w:szCs w:val="21"/>
              </w:rPr>
            </w:pPr>
            <w:r>
              <w:rPr>
                <w:rFonts w:hint="eastAsia" w:ascii="仿宋" w:hAnsi="仿宋" w:eastAsia="仿宋" w:cs="宋体"/>
                <w:color w:val="000000"/>
                <w:kern w:val="0"/>
                <w:szCs w:val="21"/>
              </w:rPr>
              <w:t>（1）网站首页不可访问情况；</w:t>
            </w:r>
          </w:p>
          <w:p>
            <w:pPr>
              <w:widowControl/>
              <w:jc w:val="left"/>
              <w:rPr>
                <w:rFonts w:hint="eastAsia" w:ascii="仿宋" w:hAnsi="仿宋" w:eastAsia="仿宋" w:cs="宋体"/>
                <w:color w:val="000000"/>
                <w:kern w:val="0"/>
                <w:szCs w:val="21"/>
              </w:rPr>
            </w:pPr>
            <w:r>
              <w:rPr>
                <w:rFonts w:hint="eastAsia" w:ascii="仿宋" w:hAnsi="仿宋" w:eastAsia="仿宋" w:cs="宋体"/>
                <w:color w:val="000000"/>
                <w:kern w:val="0"/>
                <w:szCs w:val="21"/>
              </w:rPr>
              <w:t>（</w:t>
            </w:r>
            <w:r>
              <w:rPr>
                <w:rFonts w:ascii="仿宋" w:hAnsi="仿宋" w:eastAsia="仿宋" w:cs="宋体"/>
                <w:color w:val="000000"/>
                <w:kern w:val="0"/>
                <w:szCs w:val="21"/>
              </w:rPr>
              <w:t>2</w:t>
            </w:r>
            <w:r>
              <w:rPr>
                <w:rFonts w:hint="eastAsia" w:ascii="仿宋" w:hAnsi="仿宋" w:eastAsia="仿宋" w:cs="宋体"/>
                <w:color w:val="000000"/>
                <w:kern w:val="0"/>
                <w:szCs w:val="21"/>
              </w:rPr>
              <w:t>）网站首页字节突变；</w:t>
            </w:r>
          </w:p>
          <w:p>
            <w:pPr>
              <w:widowControl/>
              <w:jc w:val="left"/>
              <w:rPr>
                <w:rFonts w:hint="eastAsia" w:ascii="仿宋" w:hAnsi="仿宋" w:eastAsia="仿宋" w:cs="宋体"/>
                <w:color w:val="000000"/>
                <w:kern w:val="0"/>
                <w:szCs w:val="21"/>
              </w:rPr>
            </w:pPr>
            <w:r>
              <w:rPr>
                <w:rFonts w:hint="eastAsia" w:ascii="仿宋" w:hAnsi="仿宋" w:eastAsia="仿宋" w:cs="宋体"/>
                <w:color w:val="000000"/>
                <w:kern w:val="0"/>
                <w:szCs w:val="21"/>
              </w:rPr>
              <w:t>（</w:t>
            </w:r>
            <w:r>
              <w:rPr>
                <w:rFonts w:ascii="仿宋" w:hAnsi="仿宋" w:eastAsia="仿宋" w:cs="宋体"/>
                <w:color w:val="000000"/>
                <w:kern w:val="0"/>
                <w:szCs w:val="21"/>
              </w:rPr>
              <w:t>3</w:t>
            </w:r>
            <w:r>
              <w:rPr>
                <w:rFonts w:hint="eastAsia" w:ascii="仿宋" w:hAnsi="仿宋" w:eastAsia="仿宋" w:cs="宋体"/>
                <w:color w:val="000000"/>
                <w:kern w:val="0"/>
                <w:szCs w:val="21"/>
              </w:rPr>
              <w:t>）网站首页显示异常；</w:t>
            </w:r>
          </w:p>
          <w:p>
            <w:pPr>
              <w:widowControl/>
              <w:jc w:val="left"/>
              <w:rPr>
                <w:rFonts w:ascii="仿宋" w:hAnsi="仿宋" w:eastAsia="仿宋" w:cs="宋体"/>
                <w:kern w:val="0"/>
                <w:szCs w:val="21"/>
              </w:rPr>
            </w:pPr>
            <w:r>
              <w:rPr>
                <w:rFonts w:hint="eastAsia" w:ascii="仿宋" w:hAnsi="仿宋" w:eastAsia="仿宋" w:cs="宋体"/>
                <w:kern w:val="0"/>
                <w:szCs w:val="21"/>
              </w:rPr>
              <w:t>（</w:t>
            </w:r>
            <w:r>
              <w:rPr>
                <w:rFonts w:ascii="仿宋" w:hAnsi="仿宋" w:eastAsia="仿宋" w:cs="宋体"/>
                <w:kern w:val="0"/>
                <w:szCs w:val="21"/>
              </w:rPr>
              <w:t>4</w:t>
            </w:r>
            <w:r>
              <w:rPr>
                <w:rFonts w:hint="eastAsia" w:ascii="仿宋" w:hAnsi="仿宋" w:eastAsia="仿宋" w:cs="宋体"/>
                <w:kern w:val="0"/>
                <w:szCs w:val="21"/>
              </w:rPr>
              <w:t>）网站首页长期间无更新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115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巡航级扫描监测</w:t>
            </w:r>
          </w:p>
        </w:tc>
        <w:tc>
          <w:tcPr>
            <w:tcW w:w="3103" w:type="dxa"/>
            <w:shd w:val="clear" w:color="auto" w:fill="auto"/>
            <w:vAlign w:val="center"/>
          </w:tcPr>
          <w:p>
            <w:pPr>
              <w:widowControl/>
              <w:jc w:val="left"/>
              <w:rPr>
                <w:rFonts w:hint="eastAsia" w:ascii="仿宋" w:hAnsi="仿宋" w:eastAsia="仿宋" w:cs="宋体"/>
                <w:color w:val="000000"/>
                <w:kern w:val="0"/>
                <w:szCs w:val="21"/>
              </w:rPr>
            </w:pPr>
            <w:r>
              <w:rPr>
                <w:rFonts w:hint="eastAsia" w:ascii="仿宋" w:hAnsi="仿宋" w:eastAsia="仿宋" w:cs="宋体"/>
                <w:color w:val="000000"/>
                <w:kern w:val="0"/>
                <w:szCs w:val="21"/>
              </w:rPr>
              <w:t>（1）主站约定重点栏目</w:t>
            </w:r>
          </w:p>
          <w:p>
            <w:pPr>
              <w:widowControl/>
              <w:jc w:val="left"/>
              <w:rPr>
                <w:rFonts w:ascii="仿宋" w:hAnsi="仿宋" w:eastAsia="仿宋" w:cs="宋体"/>
                <w:color w:val="000000"/>
                <w:kern w:val="0"/>
                <w:szCs w:val="21"/>
              </w:rPr>
            </w:pPr>
          </w:p>
        </w:tc>
        <w:tc>
          <w:tcPr>
            <w:tcW w:w="170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每隔10-20分钟扫描一次</w:t>
            </w:r>
          </w:p>
        </w:tc>
        <w:tc>
          <w:tcPr>
            <w:tcW w:w="3256" w:type="dxa"/>
            <w:shd w:val="clear" w:color="auto" w:fill="auto"/>
            <w:vAlign w:val="center"/>
          </w:tcPr>
          <w:p>
            <w:pPr>
              <w:widowControl/>
              <w:jc w:val="left"/>
              <w:rPr>
                <w:rFonts w:hint="eastAsia" w:ascii="仿宋" w:hAnsi="仿宋" w:eastAsia="仿宋" w:cs="宋体"/>
                <w:color w:val="000000"/>
                <w:kern w:val="0"/>
                <w:szCs w:val="21"/>
              </w:rPr>
            </w:pPr>
            <w:r>
              <w:rPr>
                <w:rFonts w:hint="eastAsia" w:ascii="仿宋" w:hAnsi="仿宋" w:eastAsia="仿宋" w:cs="宋体"/>
                <w:color w:val="000000"/>
                <w:kern w:val="0"/>
                <w:szCs w:val="21"/>
              </w:rPr>
              <w:t>（</w:t>
            </w:r>
            <w:r>
              <w:rPr>
                <w:rFonts w:ascii="仿宋" w:hAnsi="仿宋" w:eastAsia="仿宋" w:cs="宋体"/>
                <w:color w:val="000000"/>
                <w:kern w:val="0"/>
                <w:szCs w:val="21"/>
              </w:rPr>
              <w:t>1</w:t>
            </w:r>
            <w:r>
              <w:rPr>
                <w:rFonts w:hint="eastAsia" w:ascii="仿宋" w:hAnsi="仿宋" w:eastAsia="仿宋" w:cs="宋体"/>
                <w:color w:val="000000"/>
                <w:kern w:val="0"/>
                <w:szCs w:val="21"/>
              </w:rPr>
              <w:t>）主站约定重点栏目不可访问</w:t>
            </w:r>
          </w:p>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（2）主站约定重点栏目显示异常；</w:t>
            </w:r>
          </w:p>
        </w:tc>
      </w:tr>
    </w:tbl>
    <w:p>
      <w:pPr>
        <w:spacing w:line="60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告警人工审核服务：</w:t>
      </w:r>
    </w:p>
    <w:p>
      <w:pPr>
        <w:spacing w:line="600" w:lineRule="exact"/>
        <w:ind w:firstLine="560" w:firstLineChars="200"/>
        <w:jc w:val="left"/>
        <w:rPr>
          <w:rFonts w:hint="eastAsia" w:ascii="仿宋" w:hAnsi="仿宋" w:eastAsia="仿宋"/>
          <w:sz w:val="28"/>
          <w:szCs w:val="28"/>
        </w:rPr>
      </w:pPr>
      <w:r>
        <w:rPr>
          <w:rFonts w:hint="eastAsia" w:ascii="仿宋" w:hAnsi="仿宋" w:eastAsia="仿宋"/>
          <w:sz w:val="28"/>
          <w:szCs w:val="28"/>
        </w:rPr>
        <w:t>乙方值班中心24小时都由专人在公司值守，值班人员负责接收由来自诊断监测系统发来的告警信息，并根据告警信息的提示登陆到具体网站上进行核实，如果情况属实则立即通知相关负责人员。告警方式主要有电话通知、短信、邮件等方式。出于减少误报考虑，乙方值班人员接断网告警后会人工持续访问客户网站2-4分钟，如果确认非瞬断，则立即拨打客户电话。</w:t>
      </w:r>
    </w:p>
    <w:p>
      <w:pPr>
        <w:spacing w:line="600" w:lineRule="exact"/>
        <w:ind w:firstLine="562" w:firstLineChars="200"/>
        <w:jc w:val="left"/>
        <w:rPr>
          <w:rFonts w:hint="eastAsia" w:ascii="仿宋" w:hAnsi="仿宋" w:eastAsia="仿宋"/>
          <w:sz w:val="28"/>
          <w:szCs w:val="28"/>
        </w:rPr>
      </w:pPr>
      <w:r>
        <w:rPr>
          <w:rFonts w:hint="eastAsia" w:ascii="仿宋" w:hAnsi="仿宋" w:eastAsia="仿宋"/>
          <w:b/>
          <w:sz w:val="28"/>
          <w:szCs w:val="28"/>
        </w:rPr>
        <w:t>人工读网服务：</w:t>
      </w:r>
      <w:r>
        <w:rPr>
          <w:rFonts w:hint="eastAsia" w:ascii="仿宋" w:hAnsi="仿宋" w:eastAsia="仿宋"/>
          <w:sz w:val="28"/>
          <w:szCs w:val="28"/>
        </w:rPr>
        <w:t>值班中心除了依靠诊断监测软件对政府网站进行全天24小时实时监测外，还为甲方提供定期人工巡查服务，巡检频率及内容如下：</w:t>
      </w:r>
    </w:p>
    <w:tbl>
      <w:tblPr>
        <w:tblStyle w:val="2"/>
        <w:tblW w:w="8477" w:type="dxa"/>
        <w:jc w:val="center"/>
        <w:tblLayout w:type="autofit"/>
        <w:tblCellMar>
          <w:top w:w="0" w:type="dxa"/>
          <w:left w:w="108" w:type="dxa"/>
          <w:bottom w:w="0" w:type="dxa"/>
          <w:right w:w="108" w:type="dxa"/>
        </w:tblCellMar>
      </w:tblPr>
      <w:tblGrid>
        <w:gridCol w:w="1787"/>
        <w:gridCol w:w="1985"/>
        <w:gridCol w:w="1984"/>
        <w:gridCol w:w="2721"/>
      </w:tblGrid>
      <w:tr>
        <w:tblPrEx>
          <w:tblCellMar>
            <w:top w:w="0" w:type="dxa"/>
            <w:left w:w="108" w:type="dxa"/>
            <w:bottom w:w="0" w:type="dxa"/>
            <w:right w:w="108" w:type="dxa"/>
          </w:tblCellMar>
        </w:tblPrEx>
        <w:trPr>
          <w:trHeight w:val="626" w:hRule="atLeast"/>
          <w:jc w:val="center"/>
        </w:trPr>
        <w:tc>
          <w:tcPr>
            <w:tcW w:w="1787" w:type="dxa"/>
            <w:tcBorders>
              <w:top w:val="single" w:color="auto" w:sz="4" w:space="0"/>
              <w:left w:val="single" w:color="auto" w:sz="4" w:space="0"/>
              <w:bottom w:val="single" w:color="auto" w:sz="4" w:space="0"/>
              <w:right w:val="single" w:color="auto" w:sz="4" w:space="0"/>
            </w:tcBorders>
            <w:shd w:val="clear" w:color="auto" w:fill="F2F2F2"/>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巡查时间</w:t>
            </w:r>
          </w:p>
        </w:tc>
        <w:tc>
          <w:tcPr>
            <w:tcW w:w="1985" w:type="dxa"/>
            <w:tcBorders>
              <w:top w:val="single" w:color="auto" w:sz="4" w:space="0"/>
              <w:left w:val="nil"/>
              <w:bottom w:val="single" w:color="auto" w:sz="4" w:space="0"/>
              <w:right w:val="single" w:color="auto" w:sz="4" w:space="0"/>
            </w:tcBorders>
            <w:shd w:val="clear" w:color="auto" w:fill="F2F2F2"/>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时间定义</w:t>
            </w:r>
          </w:p>
        </w:tc>
        <w:tc>
          <w:tcPr>
            <w:tcW w:w="1984" w:type="dxa"/>
            <w:tcBorders>
              <w:top w:val="single" w:color="auto" w:sz="4" w:space="0"/>
              <w:left w:val="nil"/>
              <w:bottom w:val="single" w:color="auto" w:sz="4" w:space="0"/>
              <w:right w:val="single" w:color="auto" w:sz="4" w:space="0"/>
            </w:tcBorders>
            <w:shd w:val="clear" w:color="auto" w:fill="F2F2F2"/>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巡查频率</w:t>
            </w:r>
          </w:p>
        </w:tc>
        <w:tc>
          <w:tcPr>
            <w:tcW w:w="2721" w:type="dxa"/>
            <w:tcBorders>
              <w:top w:val="single" w:color="auto" w:sz="4" w:space="0"/>
              <w:left w:val="nil"/>
              <w:bottom w:val="single" w:color="auto" w:sz="4" w:space="0"/>
              <w:right w:val="single" w:color="auto" w:sz="4" w:space="0"/>
            </w:tcBorders>
            <w:shd w:val="clear" w:color="auto" w:fill="F2F2F2"/>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巡查内容</w:t>
            </w:r>
          </w:p>
        </w:tc>
      </w:tr>
      <w:tr>
        <w:tblPrEx>
          <w:tblCellMar>
            <w:top w:w="0" w:type="dxa"/>
            <w:left w:w="108" w:type="dxa"/>
            <w:bottom w:w="0" w:type="dxa"/>
            <w:right w:w="108" w:type="dxa"/>
          </w:tblCellMar>
        </w:tblPrEx>
        <w:trPr>
          <w:trHeight w:val="1622" w:hRule="atLeast"/>
          <w:jc w:val="center"/>
        </w:trPr>
        <w:tc>
          <w:tcPr>
            <w:tcW w:w="17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日常工作时间</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周一至周五08:30-18:00</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（1）主站首页每1小时巡查一遍；</w:t>
            </w:r>
          </w:p>
          <w:p>
            <w:pPr>
              <w:widowControl/>
              <w:jc w:val="left"/>
              <w:rPr>
                <w:rFonts w:ascii="仿宋" w:hAnsi="仿宋" w:eastAsia="仿宋" w:cs="宋体"/>
                <w:kern w:val="0"/>
                <w:szCs w:val="21"/>
              </w:rPr>
            </w:pPr>
          </w:p>
        </w:tc>
        <w:tc>
          <w:tcPr>
            <w:tcW w:w="272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（1）网站首页不可访问情况；</w:t>
            </w:r>
          </w:p>
          <w:p>
            <w:pPr>
              <w:widowControl/>
              <w:jc w:val="left"/>
              <w:rPr>
                <w:rFonts w:hint="eastAsia" w:ascii="仿宋" w:hAnsi="仿宋" w:eastAsia="仿宋" w:cs="宋体"/>
                <w:kern w:val="0"/>
                <w:szCs w:val="21"/>
              </w:rPr>
            </w:pPr>
            <w:r>
              <w:rPr>
                <w:rFonts w:hint="eastAsia" w:ascii="仿宋" w:hAnsi="仿宋" w:eastAsia="仿宋" w:cs="宋体"/>
                <w:kern w:val="0"/>
                <w:szCs w:val="21"/>
              </w:rPr>
              <w:t>（2）网站首页被黑客篡改；</w:t>
            </w:r>
          </w:p>
          <w:p>
            <w:pPr>
              <w:widowControl/>
              <w:jc w:val="left"/>
              <w:rPr>
                <w:rFonts w:ascii="仿宋" w:hAnsi="仿宋" w:eastAsia="仿宋" w:cs="宋体"/>
                <w:kern w:val="0"/>
                <w:szCs w:val="21"/>
              </w:rPr>
            </w:pPr>
            <w:r>
              <w:rPr>
                <w:rFonts w:hint="eastAsia" w:ascii="仿宋" w:hAnsi="仿宋" w:eastAsia="仿宋" w:cs="宋体"/>
                <w:kern w:val="0"/>
                <w:szCs w:val="21"/>
              </w:rPr>
              <w:t>（3）网站首页显示异常；</w:t>
            </w:r>
            <w:r>
              <w:rPr>
                <w:rFonts w:ascii="仿宋" w:hAnsi="仿宋" w:eastAsia="仿宋" w:cs="宋体"/>
                <w:kern w:val="0"/>
                <w:szCs w:val="21"/>
              </w:rPr>
              <w:t xml:space="preserve"> </w:t>
            </w:r>
          </w:p>
        </w:tc>
      </w:tr>
      <w:tr>
        <w:tblPrEx>
          <w:tblCellMar>
            <w:top w:w="0" w:type="dxa"/>
            <w:left w:w="108" w:type="dxa"/>
            <w:bottom w:w="0" w:type="dxa"/>
            <w:right w:w="108" w:type="dxa"/>
          </w:tblCellMar>
        </w:tblPrEx>
        <w:trPr>
          <w:trHeight w:val="1622" w:hRule="atLeast"/>
          <w:jc w:val="center"/>
        </w:trPr>
        <w:tc>
          <w:tcPr>
            <w:tcW w:w="17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日常非工作时间</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当日18:00-次日08:30</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（1）主站首页每1小时巡查一遍；</w:t>
            </w:r>
          </w:p>
          <w:p>
            <w:pPr>
              <w:widowControl/>
              <w:jc w:val="left"/>
              <w:rPr>
                <w:rFonts w:ascii="仿宋" w:hAnsi="仿宋" w:eastAsia="仿宋" w:cs="宋体"/>
                <w:kern w:val="0"/>
                <w:szCs w:val="21"/>
              </w:rPr>
            </w:pPr>
          </w:p>
        </w:tc>
        <w:tc>
          <w:tcPr>
            <w:tcW w:w="272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（1）网站首页不可访问情况；</w:t>
            </w:r>
          </w:p>
          <w:p>
            <w:pPr>
              <w:widowControl/>
              <w:jc w:val="left"/>
              <w:rPr>
                <w:rFonts w:ascii="仿宋" w:hAnsi="仿宋" w:eastAsia="仿宋" w:cs="宋体"/>
                <w:kern w:val="0"/>
                <w:szCs w:val="21"/>
              </w:rPr>
            </w:pPr>
            <w:r>
              <w:rPr>
                <w:rFonts w:hint="eastAsia" w:ascii="仿宋" w:hAnsi="仿宋" w:eastAsia="仿宋" w:cs="宋体"/>
                <w:kern w:val="0"/>
                <w:szCs w:val="21"/>
              </w:rPr>
              <w:t>（</w:t>
            </w:r>
            <w:r>
              <w:rPr>
                <w:rFonts w:ascii="仿宋" w:hAnsi="仿宋" w:eastAsia="仿宋" w:cs="宋体"/>
                <w:kern w:val="0"/>
                <w:szCs w:val="21"/>
              </w:rPr>
              <w:t>2</w:t>
            </w:r>
            <w:r>
              <w:rPr>
                <w:rFonts w:hint="eastAsia" w:ascii="仿宋" w:hAnsi="仿宋" w:eastAsia="仿宋" w:cs="宋体"/>
                <w:kern w:val="0"/>
                <w:szCs w:val="21"/>
              </w:rPr>
              <w:t>）网站首页显示异常；</w:t>
            </w:r>
          </w:p>
        </w:tc>
      </w:tr>
      <w:tr>
        <w:tblPrEx>
          <w:tblCellMar>
            <w:top w:w="0" w:type="dxa"/>
            <w:left w:w="108" w:type="dxa"/>
            <w:bottom w:w="0" w:type="dxa"/>
            <w:right w:w="108" w:type="dxa"/>
          </w:tblCellMar>
        </w:tblPrEx>
        <w:trPr>
          <w:trHeight w:val="1955" w:hRule="atLeast"/>
          <w:jc w:val="center"/>
        </w:trPr>
        <w:tc>
          <w:tcPr>
            <w:tcW w:w="17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重大活动期间</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待定</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（1）主站首页每30分钟巡查一遍；</w:t>
            </w:r>
          </w:p>
          <w:p>
            <w:pPr>
              <w:widowControl/>
              <w:jc w:val="left"/>
              <w:rPr>
                <w:rFonts w:ascii="仿宋" w:hAnsi="仿宋" w:eastAsia="仿宋" w:cs="宋体"/>
                <w:kern w:val="0"/>
                <w:szCs w:val="21"/>
              </w:rPr>
            </w:pPr>
          </w:p>
        </w:tc>
        <w:tc>
          <w:tcPr>
            <w:tcW w:w="272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（1）网站首页不可访问情况；</w:t>
            </w:r>
          </w:p>
          <w:p>
            <w:pPr>
              <w:widowControl/>
              <w:jc w:val="left"/>
              <w:rPr>
                <w:rFonts w:ascii="仿宋" w:hAnsi="仿宋" w:eastAsia="仿宋" w:cs="宋体"/>
                <w:kern w:val="0"/>
                <w:szCs w:val="21"/>
              </w:rPr>
            </w:pPr>
            <w:r>
              <w:rPr>
                <w:rFonts w:hint="eastAsia" w:ascii="仿宋" w:hAnsi="仿宋" w:eastAsia="仿宋" w:cs="宋体"/>
                <w:kern w:val="0"/>
                <w:szCs w:val="21"/>
              </w:rPr>
              <w:t>（</w:t>
            </w:r>
            <w:r>
              <w:rPr>
                <w:rFonts w:ascii="仿宋" w:hAnsi="仿宋" w:eastAsia="仿宋" w:cs="宋体"/>
                <w:kern w:val="0"/>
                <w:szCs w:val="21"/>
              </w:rPr>
              <w:t>2</w:t>
            </w:r>
            <w:r>
              <w:rPr>
                <w:rFonts w:hint="eastAsia" w:ascii="仿宋" w:hAnsi="仿宋" w:eastAsia="仿宋" w:cs="宋体"/>
                <w:kern w:val="0"/>
                <w:szCs w:val="21"/>
              </w:rPr>
              <w:t>）网站首页显示异常；</w:t>
            </w:r>
          </w:p>
        </w:tc>
      </w:tr>
    </w:tbl>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3、网站普查检测服务及政府网站检查服务</w:t>
      </w:r>
    </w:p>
    <w:p>
      <w:pPr>
        <w:spacing w:line="600" w:lineRule="exact"/>
        <w:ind w:firstLine="555"/>
        <w:jc w:val="left"/>
        <w:rPr>
          <w:rFonts w:hint="eastAsia" w:ascii="仿宋" w:hAnsi="仿宋" w:eastAsia="仿宋"/>
          <w:bCs/>
          <w:sz w:val="28"/>
          <w:szCs w:val="28"/>
        </w:rPr>
      </w:pPr>
      <w:r>
        <w:rPr>
          <w:rFonts w:hint="eastAsia" w:ascii="仿宋" w:hAnsi="仿宋" w:eastAsia="仿宋"/>
          <w:bCs/>
          <w:sz w:val="28"/>
          <w:szCs w:val="28"/>
        </w:rPr>
        <w:t>按照国办发﹝2015﹞15号文件附件2《全国政府网站普查评分表》的内容及《国务院办公厅秘书局关于印发政府网站与政务新媒体检查指标、监管工作年度考核指标的通知》中关于政府网站的检查指标对苏州市园林和绿化管理局网站进行相关检查测评服务。</w:t>
      </w:r>
    </w:p>
    <w:p>
      <w:pPr>
        <w:spacing w:line="600" w:lineRule="exact"/>
        <w:ind w:firstLine="555"/>
        <w:jc w:val="left"/>
        <w:rPr>
          <w:rFonts w:hint="eastAsia" w:ascii="仿宋" w:hAnsi="仿宋" w:eastAsia="仿宋"/>
          <w:sz w:val="24"/>
          <w:szCs w:val="24"/>
        </w:rPr>
      </w:pPr>
      <w:r>
        <w:rPr>
          <w:rFonts w:hint="eastAsia" w:ascii="仿宋" w:hAnsi="仿宋" w:eastAsia="仿宋"/>
          <w:bCs/>
          <w:sz w:val="28"/>
          <w:szCs w:val="28"/>
        </w:rPr>
        <w:t>（1）检测内容具体包含：</w:t>
      </w:r>
    </w:p>
    <w:tbl>
      <w:tblPr>
        <w:tblStyle w:val="2"/>
        <w:tblW w:w="9749" w:type="dxa"/>
        <w:tblInd w:w="-176" w:type="dxa"/>
        <w:tblLayout w:type="autofit"/>
        <w:tblCellMar>
          <w:top w:w="0" w:type="dxa"/>
          <w:left w:w="108" w:type="dxa"/>
          <w:bottom w:w="0" w:type="dxa"/>
          <w:right w:w="108" w:type="dxa"/>
        </w:tblCellMar>
      </w:tblPr>
      <w:tblGrid>
        <w:gridCol w:w="1349"/>
        <w:gridCol w:w="2440"/>
        <w:gridCol w:w="5960"/>
      </w:tblGrid>
      <w:tr>
        <w:tblPrEx>
          <w:tblCellMar>
            <w:top w:w="0" w:type="dxa"/>
            <w:left w:w="108" w:type="dxa"/>
            <w:bottom w:w="0" w:type="dxa"/>
            <w:right w:w="108" w:type="dxa"/>
          </w:tblCellMar>
        </w:tblPrEx>
        <w:trPr>
          <w:trHeight w:val="270" w:hRule="atLeast"/>
        </w:trPr>
        <w:tc>
          <w:tcPr>
            <w:tcW w:w="134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Courier New"/>
                <w:color w:val="000000"/>
                <w:kern w:val="0"/>
                <w:sz w:val="28"/>
                <w:szCs w:val="28"/>
              </w:rPr>
            </w:pPr>
            <w:r>
              <w:rPr>
                <w:rFonts w:ascii="仿宋" w:hAnsi="仿宋" w:eastAsia="仿宋" w:cs="Courier New"/>
                <w:color w:val="000000"/>
                <w:kern w:val="0"/>
                <w:sz w:val="28"/>
                <w:szCs w:val="28"/>
              </w:rPr>
              <w:t>一级指标</w:t>
            </w:r>
          </w:p>
        </w:tc>
        <w:tc>
          <w:tcPr>
            <w:tcW w:w="24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二级指标</w:t>
            </w:r>
          </w:p>
        </w:tc>
        <w:tc>
          <w:tcPr>
            <w:tcW w:w="59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hint="eastAsia" w:ascii="仿宋" w:hAnsi="仿宋" w:eastAsia="仿宋"/>
                <w:color w:val="000000"/>
                <w:kern w:val="0"/>
                <w:sz w:val="28"/>
                <w:szCs w:val="28"/>
              </w:rPr>
              <w:t>考察点</w:t>
            </w:r>
          </w:p>
        </w:tc>
      </w:tr>
      <w:tr>
        <w:tblPrEx>
          <w:tblCellMar>
            <w:top w:w="0" w:type="dxa"/>
            <w:left w:w="108" w:type="dxa"/>
            <w:bottom w:w="0" w:type="dxa"/>
            <w:right w:w="108" w:type="dxa"/>
          </w:tblCellMar>
        </w:tblPrEx>
        <w:trPr>
          <w:trHeight w:val="510" w:hRule="atLeast"/>
        </w:trPr>
        <w:tc>
          <w:tcPr>
            <w:tcW w:w="1349" w:type="dxa"/>
            <w:vMerge w:val="restart"/>
            <w:tcBorders>
              <w:top w:val="nil"/>
              <w:left w:val="single" w:color="auto" w:sz="4" w:space="0"/>
              <w:bottom w:val="single" w:color="auto" w:sz="4" w:space="0"/>
              <w:right w:val="single" w:color="auto" w:sz="4" w:space="0"/>
            </w:tcBorders>
            <w:shd w:val="clear" w:color="000000" w:fill="FFFFFF"/>
            <w:textDirection w:val="tbRlV"/>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单项否决</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站点无法访问</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首页打不开的次数占全部监测次数的比例。</w:t>
            </w:r>
          </w:p>
        </w:tc>
      </w:tr>
      <w:tr>
        <w:tblPrEx>
          <w:tblCellMar>
            <w:top w:w="0" w:type="dxa"/>
            <w:left w:w="108" w:type="dxa"/>
            <w:bottom w:w="0" w:type="dxa"/>
            <w:right w:w="108" w:type="dxa"/>
          </w:tblCellMar>
        </w:tblPrEx>
        <w:trPr>
          <w:trHeight w:val="505"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tcBorders>
              <w:top w:val="nil"/>
              <w:left w:val="nil"/>
              <w:bottom w:val="nil"/>
              <w:right w:val="nil"/>
            </w:tcBorders>
            <w:shd w:val="clear" w:color="auto" w:fill="auto"/>
            <w:noWrap/>
            <w:vAlign w:val="center"/>
          </w:tcPr>
          <w:p>
            <w:pPr>
              <w:widowControl/>
              <w:ind w:firstLine="420" w:firstLineChars="15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网站不更新</w:t>
            </w:r>
          </w:p>
        </w:tc>
        <w:tc>
          <w:tcPr>
            <w:tcW w:w="5960"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首页栏目信息更新情况。</w:t>
            </w:r>
          </w:p>
        </w:tc>
      </w:tr>
      <w:tr>
        <w:tblPrEx>
          <w:tblCellMar>
            <w:top w:w="0" w:type="dxa"/>
            <w:left w:w="108" w:type="dxa"/>
            <w:bottom w:w="0" w:type="dxa"/>
            <w:right w:w="108" w:type="dxa"/>
          </w:tblCellMar>
        </w:tblPrEx>
        <w:trPr>
          <w:trHeight w:val="27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栏目不更新</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1.动态、要闻、通知公告、政策文件等信息长期未更新的栏目数量；</w:t>
            </w:r>
          </w:p>
        </w:tc>
      </w:tr>
      <w:tr>
        <w:tblPrEx>
          <w:tblCellMar>
            <w:top w:w="0" w:type="dxa"/>
            <w:left w:w="108" w:type="dxa"/>
            <w:bottom w:w="0" w:type="dxa"/>
            <w:right w:w="108" w:type="dxa"/>
          </w:tblCellMar>
        </w:tblPrEx>
        <w:trPr>
          <w:trHeight w:val="499"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2.网站中应更新但长期未更新的栏目数量；</w:t>
            </w:r>
          </w:p>
        </w:tc>
      </w:tr>
      <w:tr>
        <w:tblPrEx>
          <w:tblCellMar>
            <w:top w:w="0" w:type="dxa"/>
            <w:left w:w="108" w:type="dxa"/>
            <w:bottom w:w="0" w:type="dxa"/>
            <w:right w:w="108" w:type="dxa"/>
          </w:tblCellMar>
        </w:tblPrEx>
        <w:trPr>
          <w:trHeight w:val="598"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3.网站中的空白栏目（有栏目无内容）数量。</w:t>
            </w:r>
          </w:p>
        </w:tc>
      </w:tr>
      <w:tr>
        <w:tblPrEx>
          <w:tblCellMar>
            <w:top w:w="0" w:type="dxa"/>
            <w:left w:w="108" w:type="dxa"/>
            <w:bottom w:w="0" w:type="dxa"/>
            <w:right w:w="108" w:type="dxa"/>
          </w:tblCellMar>
        </w:tblPrEx>
        <w:trPr>
          <w:trHeight w:val="27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严重错误</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1.网站存在严重错别字；</w:t>
            </w:r>
          </w:p>
        </w:tc>
      </w:tr>
      <w:tr>
        <w:tblPrEx>
          <w:tblCellMar>
            <w:top w:w="0" w:type="dxa"/>
            <w:left w:w="108" w:type="dxa"/>
            <w:bottom w:w="0" w:type="dxa"/>
            <w:right w:w="108" w:type="dxa"/>
          </w:tblCellMar>
        </w:tblPrEx>
        <w:trPr>
          <w:trHeight w:val="48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2.网站存在虚假或伪造内容；</w:t>
            </w:r>
          </w:p>
        </w:tc>
      </w:tr>
      <w:tr>
        <w:tblPrEx>
          <w:tblCellMar>
            <w:top w:w="0" w:type="dxa"/>
            <w:left w:w="108" w:type="dxa"/>
            <w:bottom w:w="0" w:type="dxa"/>
            <w:right w:w="108" w:type="dxa"/>
          </w:tblCellMar>
        </w:tblPrEx>
        <w:trPr>
          <w:trHeight w:val="43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3.网站存在反动、暴力、色情等内容。</w:t>
            </w:r>
          </w:p>
        </w:tc>
      </w:tr>
      <w:tr>
        <w:tblPrEx>
          <w:tblCellMar>
            <w:top w:w="0" w:type="dxa"/>
            <w:left w:w="108" w:type="dxa"/>
            <w:bottom w:w="0" w:type="dxa"/>
            <w:right w:w="108" w:type="dxa"/>
          </w:tblCellMar>
        </w:tblPrEx>
        <w:trPr>
          <w:trHeight w:val="27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互动回应差</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互动回应类栏目长期未回应的情况。</w:t>
            </w:r>
          </w:p>
        </w:tc>
      </w:tr>
      <w:tr>
        <w:tblPrEx>
          <w:tblCellMar>
            <w:top w:w="0" w:type="dxa"/>
            <w:left w:w="108" w:type="dxa"/>
            <w:bottom w:w="0" w:type="dxa"/>
            <w:right w:w="108" w:type="dxa"/>
          </w:tblCellMar>
        </w:tblPrEx>
        <w:trPr>
          <w:trHeight w:val="510" w:hRule="atLeast"/>
        </w:trPr>
        <w:tc>
          <w:tcPr>
            <w:tcW w:w="134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网站可用性</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首页可用性</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首页打不开的次数占全部监测次数的比例。</w:t>
            </w:r>
          </w:p>
        </w:tc>
      </w:tr>
      <w:tr>
        <w:tblPrEx>
          <w:tblCellMar>
            <w:top w:w="0" w:type="dxa"/>
            <w:left w:w="108" w:type="dxa"/>
            <w:bottom w:w="0" w:type="dxa"/>
            <w:right w:w="108" w:type="dxa"/>
          </w:tblCellMar>
        </w:tblPrEx>
        <w:trPr>
          <w:trHeight w:val="27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链接可用性</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首页及其他页面不能正常访问的链接数量。</w:t>
            </w:r>
          </w:p>
        </w:tc>
      </w:tr>
      <w:tr>
        <w:tblPrEx>
          <w:tblCellMar>
            <w:top w:w="0" w:type="dxa"/>
            <w:left w:w="108" w:type="dxa"/>
            <w:bottom w:w="0" w:type="dxa"/>
            <w:right w:w="108" w:type="dxa"/>
          </w:tblCellMar>
        </w:tblPrEx>
        <w:trPr>
          <w:trHeight w:val="528" w:hRule="atLeast"/>
        </w:trPr>
        <w:tc>
          <w:tcPr>
            <w:tcW w:w="134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信息更新情况</w:t>
            </w:r>
          </w:p>
        </w:tc>
        <w:tc>
          <w:tcPr>
            <w:tcW w:w="2440" w:type="dxa"/>
            <w:tcBorders>
              <w:top w:val="nil"/>
              <w:left w:val="nil"/>
              <w:bottom w:val="nil"/>
              <w:right w:val="nil"/>
            </w:tcBorders>
            <w:shd w:val="clear" w:color="auto" w:fill="auto"/>
            <w:noWrap/>
            <w:vAlign w:val="center"/>
          </w:tcPr>
          <w:p>
            <w:pPr>
              <w:widowControl/>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首页栏目</w:t>
            </w:r>
          </w:p>
        </w:tc>
        <w:tc>
          <w:tcPr>
            <w:tcW w:w="5960" w:type="dxa"/>
            <w:tcBorders>
              <w:top w:val="nil"/>
              <w:left w:val="single" w:color="auto" w:sz="4" w:space="0"/>
              <w:bottom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首页栏目信息更新数量。</w:t>
            </w:r>
          </w:p>
        </w:tc>
      </w:tr>
      <w:tr>
        <w:tblPrEx>
          <w:tblCellMar>
            <w:top w:w="0" w:type="dxa"/>
            <w:left w:w="108" w:type="dxa"/>
            <w:bottom w:w="0" w:type="dxa"/>
            <w:right w:w="108" w:type="dxa"/>
          </w:tblCellMar>
        </w:tblPrEx>
        <w:trPr>
          <w:trHeight w:val="27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基本信息</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1.基本信息更新是否及时；</w:t>
            </w:r>
          </w:p>
        </w:tc>
      </w:tr>
      <w:tr>
        <w:tblPrEx>
          <w:tblCellMar>
            <w:top w:w="0" w:type="dxa"/>
            <w:left w:w="108" w:type="dxa"/>
            <w:bottom w:w="0" w:type="dxa"/>
            <w:right w:w="108" w:type="dxa"/>
          </w:tblCellMar>
        </w:tblPrEx>
        <w:trPr>
          <w:trHeight w:val="446"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2.基本信息内容是否准确。</w:t>
            </w:r>
          </w:p>
        </w:tc>
      </w:tr>
      <w:tr>
        <w:tblPrEx>
          <w:tblCellMar>
            <w:top w:w="0" w:type="dxa"/>
            <w:left w:w="108" w:type="dxa"/>
            <w:bottom w:w="0" w:type="dxa"/>
            <w:right w:w="108" w:type="dxa"/>
          </w:tblCellMar>
        </w:tblPrEx>
        <w:trPr>
          <w:trHeight w:val="270" w:hRule="atLeast"/>
        </w:trPr>
        <w:tc>
          <w:tcPr>
            <w:tcW w:w="134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互动回应情况</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政务咨询类栏目</w:t>
            </w:r>
          </w:p>
        </w:tc>
        <w:tc>
          <w:tcPr>
            <w:tcW w:w="5960"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栏目开设及开展情况</w:t>
            </w:r>
          </w:p>
        </w:tc>
      </w:tr>
      <w:tr>
        <w:tblPrEx>
          <w:tblCellMar>
            <w:top w:w="0" w:type="dxa"/>
            <w:left w:w="108" w:type="dxa"/>
            <w:bottom w:w="0" w:type="dxa"/>
            <w:right w:w="108" w:type="dxa"/>
          </w:tblCellMar>
        </w:tblPrEx>
        <w:trPr>
          <w:trHeight w:val="27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调查征集类栏目</w:t>
            </w:r>
          </w:p>
        </w:tc>
        <w:tc>
          <w:tcPr>
            <w:tcW w:w="5960"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栏目开设及开展情况</w:t>
            </w:r>
          </w:p>
        </w:tc>
      </w:tr>
      <w:tr>
        <w:tblPrEx>
          <w:tblCellMar>
            <w:top w:w="0" w:type="dxa"/>
            <w:left w:w="108" w:type="dxa"/>
            <w:bottom w:w="0" w:type="dxa"/>
            <w:right w:w="108" w:type="dxa"/>
          </w:tblCellMar>
        </w:tblPrEx>
        <w:trPr>
          <w:trHeight w:val="51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互动访谈类栏目</w:t>
            </w:r>
          </w:p>
        </w:tc>
        <w:tc>
          <w:tcPr>
            <w:tcW w:w="5960"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互动访谈开展情况</w:t>
            </w:r>
          </w:p>
        </w:tc>
      </w:tr>
      <w:tr>
        <w:tblPrEx>
          <w:tblCellMar>
            <w:top w:w="0" w:type="dxa"/>
            <w:left w:w="108" w:type="dxa"/>
            <w:bottom w:w="0" w:type="dxa"/>
            <w:right w:w="108" w:type="dxa"/>
          </w:tblCellMar>
        </w:tblPrEx>
        <w:trPr>
          <w:trHeight w:val="510" w:hRule="atLeast"/>
        </w:trPr>
        <w:tc>
          <w:tcPr>
            <w:tcW w:w="134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服务实用情况</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办事指南</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办事指南要素的完整性、准确性。</w:t>
            </w:r>
          </w:p>
        </w:tc>
      </w:tr>
      <w:tr>
        <w:tblPrEx>
          <w:tblCellMar>
            <w:top w:w="0" w:type="dxa"/>
            <w:left w:w="108" w:type="dxa"/>
            <w:bottom w:w="0" w:type="dxa"/>
            <w:right w:w="108" w:type="dxa"/>
          </w:tblCellMar>
        </w:tblPrEx>
        <w:trPr>
          <w:trHeight w:val="27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附件下载</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所需的办事表格、文件附件等资料能否正常下载。</w:t>
            </w:r>
          </w:p>
        </w:tc>
      </w:tr>
      <w:tr>
        <w:tblPrEx>
          <w:tblCellMar>
            <w:top w:w="0" w:type="dxa"/>
            <w:left w:w="108" w:type="dxa"/>
            <w:bottom w:w="0" w:type="dxa"/>
            <w:right w:w="108" w:type="dxa"/>
          </w:tblCellMar>
        </w:tblPrEx>
        <w:trPr>
          <w:trHeight w:val="270"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8"/>
                <w:szCs w:val="28"/>
              </w:rPr>
            </w:pPr>
            <w:r>
              <w:rPr>
                <w:rFonts w:ascii="仿宋" w:hAnsi="仿宋" w:eastAsia="仿宋"/>
                <w:color w:val="000000"/>
                <w:kern w:val="0"/>
                <w:sz w:val="28"/>
                <w:szCs w:val="28"/>
              </w:rPr>
              <w:t>在线系统</w:t>
            </w:r>
          </w:p>
        </w:tc>
        <w:tc>
          <w:tcPr>
            <w:tcW w:w="59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kern w:val="0"/>
                <w:sz w:val="28"/>
                <w:szCs w:val="28"/>
              </w:rPr>
            </w:pPr>
            <w:r>
              <w:rPr>
                <w:rFonts w:ascii="仿宋" w:hAnsi="仿宋" w:eastAsia="仿宋"/>
                <w:color w:val="000000"/>
                <w:kern w:val="0"/>
                <w:sz w:val="28"/>
                <w:szCs w:val="28"/>
              </w:rPr>
              <w:t>在线申报和查询系统能否正常访问。</w:t>
            </w:r>
          </w:p>
        </w:tc>
      </w:tr>
    </w:tbl>
    <w:p>
      <w:pPr>
        <w:spacing w:line="600" w:lineRule="exact"/>
        <w:ind w:firstLine="560" w:firstLineChars="200"/>
        <w:jc w:val="left"/>
        <w:rPr>
          <w:rFonts w:hint="eastAsia" w:ascii="仿宋" w:hAnsi="仿宋" w:eastAsia="仿宋"/>
          <w:bCs/>
          <w:sz w:val="28"/>
          <w:szCs w:val="28"/>
        </w:rPr>
      </w:pPr>
    </w:p>
    <w:p>
      <w:pPr>
        <w:widowControl/>
        <w:shd w:val="clear" w:color="auto" w:fill="FFFFFF"/>
        <w:ind w:firstLine="480"/>
        <w:rPr>
          <w:rFonts w:ascii="仿宋" w:hAnsi="仿宋" w:eastAsia="仿宋" w:cs="宋体"/>
          <w:color w:val="333333"/>
          <w:kern w:val="0"/>
          <w:sz w:val="24"/>
          <w:szCs w:val="24"/>
        </w:rPr>
      </w:pPr>
    </w:p>
    <w:tbl>
      <w:tblPr>
        <w:tblStyle w:val="2"/>
        <w:tblW w:w="9071" w:type="dxa"/>
        <w:jc w:val="center"/>
        <w:tblLayout w:type="autofit"/>
        <w:tblCellMar>
          <w:top w:w="0" w:type="dxa"/>
          <w:left w:w="0" w:type="dxa"/>
          <w:bottom w:w="0" w:type="dxa"/>
          <w:right w:w="0" w:type="dxa"/>
        </w:tblCellMar>
      </w:tblPr>
      <w:tblGrid>
        <w:gridCol w:w="1751"/>
        <w:gridCol w:w="1845"/>
        <w:gridCol w:w="5475"/>
      </w:tblGrid>
      <w:tr>
        <w:tblPrEx>
          <w:tblCellMar>
            <w:top w:w="0" w:type="dxa"/>
            <w:left w:w="0" w:type="dxa"/>
            <w:bottom w:w="0" w:type="dxa"/>
            <w:right w:w="0" w:type="dxa"/>
          </w:tblCellMar>
        </w:tblPrEx>
        <w:trPr>
          <w:jc w:val="center"/>
        </w:trPr>
        <w:tc>
          <w:tcPr>
            <w:tcW w:w="17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0"/>
              </w:rPr>
              <w:t>检查对象</w:t>
            </w:r>
          </w:p>
        </w:tc>
        <w:tc>
          <w:tcPr>
            <w:tcW w:w="18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0"/>
              </w:rPr>
              <w:t>指　标</w:t>
            </w:r>
          </w:p>
        </w:tc>
        <w:tc>
          <w:tcPr>
            <w:tcW w:w="5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0"/>
              </w:rPr>
              <w:t>评分细则</w:t>
            </w:r>
          </w:p>
        </w:tc>
      </w:tr>
      <w:tr>
        <w:tblPrEx>
          <w:tblCellMar>
            <w:top w:w="0" w:type="dxa"/>
            <w:left w:w="0" w:type="dxa"/>
            <w:bottom w:w="0" w:type="dxa"/>
            <w:right w:w="0" w:type="dxa"/>
          </w:tblCellMar>
        </w:tblPrEx>
        <w:trPr>
          <w:trHeight w:val="2651" w:hRule="atLeast"/>
          <w:jc w:val="center"/>
        </w:trPr>
        <w:tc>
          <w:tcPr>
            <w:tcW w:w="175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政府网站</w:t>
            </w: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4"/>
                <w:szCs w:val="24"/>
              </w:rPr>
            </w:pPr>
            <w:r>
              <w:rPr>
                <w:rFonts w:hint="eastAsia" w:ascii="仿宋" w:hAnsi="仿宋" w:eastAsia="仿宋" w:cs="宋体"/>
                <w:kern w:val="0"/>
                <w:sz w:val="20"/>
              </w:rPr>
              <w:t>安全、泄密事故等严重问题</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1.出现严重表述错误。</w:t>
            </w:r>
            <w:r>
              <w:rPr>
                <w:rFonts w:hint="eastAsia" w:ascii="仿宋" w:hAnsi="仿宋" w:eastAsia="仿宋" w:cs="宋体"/>
                <w:kern w:val="0"/>
                <w:sz w:val="20"/>
              </w:rPr>
              <w:br w:type="textWrapping"/>
            </w:r>
            <w:r>
              <w:rPr>
                <w:rFonts w:hint="eastAsia" w:ascii="仿宋" w:hAnsi="仿宋" w:eastAsia="仿宋" w:cs="宋体"/>
                <w:kern w:val="0"/>
                <w:sz w:val="20"/>
              </w:rPr>
              <w:t>2.泄露国家秘密。</w:t>
            </w:r>
            <w:r>
              <w:rPr>
                <w:rFonts w:hint="eastAsia" w:ascii="仿宋" w:hAnsi="仿宋" w:eastAsia="仿宋" w:cs="宋体"/>
                <w:kern w:val="0"/>
                <w:sz w:val="20"/>
              </w:rPr>
              <w:br w:type="textWrapping"/>
            </w:r>
            <w:r>
              <w:rPr>
                <w:rFonts w:hint="eastAsia" w:ascii="仿宋" w:hAnsi="仿宋" w:eastAsia="仿宋" w:cs="宋体"/>
                <w:kern w:val="0"/>
                <w:sz w:val="20"/>
              </w:rPr>
              <w:t>3.发布或链接反动、暴力、色情等内容。</w:t>
            </w:r>
            <w:r>
              <w:rPr>
                <w:rFonts w:hint="eastAsia" w:ascii="仿宋" w:hAnsi="仿宋" w:eastAsia="仿宋" w:cs="宋体"/>
                <w:kern w:val="0"/>
                <w:sz w:val="20"/>
              </w:rPr>
              <w:br w:type="textWrapping"/>
            </w:r>
            <w:r>
              <w:rPr>
                <w:rFonts w:hint="eastAsia" w:ascii="仿宋" w:hAnsi="仿宋" w:eastAsia="仿宋" w:cs="宋体"/>
                <w:kern w:val="0"/>
                <w:sz w:val="20"/>
              </w:rPr>
              <w:t>4.对安全攻击（如页面被挂马、内容被篡改等）没有及时有效处置造成严重安全事故。</w:t>
            </w:r>
            <w:r>
              <w:rPr>
                <w:rFonts w:hint="eastAsia" w:ascii="仿宋" w:hAnsi="仿宋" w:eastAsia="仿宋" w:cs="宋体"/>
                <w:kern w:val="0"/>
                <w:sz w:val="20"/>
              </w:rPr>
              <w:br w:type="textWrapping"/>
            </w:r>
            <w:r>
              <w:rPr>
                <w:rFonts w:hint="eastAsia" w:ascii="仿宋" w:hAnsi="仿宋" w:eastAsia="仿宋" w:cs="宋体"/>
                <w:kern w:val="0"/>
                <w:sz w:val="20"/>
              </w:rPr>
              <w:t>5.存在弄虚作假行为（如伪造发稿日期等）。</w:t>
            </w:r>
            <w:r>
              <w:rPr>
                <w:rFonts w:hint="eastAsia" w:ascii="仿宋" w:hAnsi="仿宋" w:eastAsia="仿宋" w:cs="宋体"/>
                <w:kern w:val="0"/>
                <w:sz w:val="20"/>
              </w:rPr>
              <w:br w:type="textWrapping"/>
            </w:r>
            <w:r>
              <w:rPr>
                <w:rFonts w:hint="eastAsia" w:ascii="仿宋" w:hAnsi="仿宋" w:eastAsia="仿宋" w:cs="宋体"/>
                <w:kern w:val="0"/>
                <w:sz w:val="20"/>
              </w:rPr>
              <w:t>6.因网站建设管理工作不当引发严重负面舆情。</w:t>
            </w:r>
            <w:r>
              <w:rPr>
                <w:rFonts w:hint="eastAsia" w:ascii="仿宋" w:hAnsi="仿宋" w:eastAsia="仿宋" w:cs="宋体"/>
                <w:kern w:val="0"/>
                <w:sz w:val="20"/>
              </w:rPr>
              <w:br w:type="textWrapping"/>
            </w:r>
            <w:r>
              <w:rPr>
                <w:rFonts w:hint="eastAsia" w:ascii="仿宋" w:hAnsi="仿宋" w:eastAsia="仿宋" w:cs="宋体"/>
                <w:kern w:val="0"/>
                <w:sz w:val="20"/>
              </w:rPr>
              <w:t>上述情况出现任意一种，即单项否决。</w:t>
            </w:r>
          </w:p>
        </w:tc>
      </w:tr>
      <w:tr>
        <w:tblPrEx>
          <w:tblCellMar>
            <w:top w:w="0" w:type="dxa"/>
            <w:left w:w="0" w:type="dxa"/>
            <w:bottom w:w="0" w:type="dxa"/>
            <w:right w:w="0" w:type="dxa"/>
          </w:tblCellMar>
        </w:tblPrEx>
        <w:trPr>
          <w:trHeight w:val="84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站点无法访问</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4"/>
                <w:szCs w:val="24"/>
              </w:rPr>
            </w:pPr>
            <w:r>
              <w:rPr>
                <w:rFonts w:hint="eastAsia" w:ascii="仿宋" w:hAnsi="仿宋" w:eastAsia="仿宋" w:cs="宋体"/>
                <w:kern w:val="0"/>
                <w:sz w:val="20"/>
              </w:rPr>
              <w:t>监测1周，每天间隔性访问20次以上，超过（含）15秒网站仍打不开的次数累计占比超过（含）5%，即单项否决。</w:t>
            </w:r>
          </w:p>
        </w:tc>
      </w:tr>
      <w:tr>
        <w:tblPrEx>
          <w:tblCellMar>
            <w:top w:w="0" w:type="dxa"/>
            <w:left w:w="0" w:type="dxa"/>
            <w:bottom w:w="0" w:type="dxa"/>
            <w:right w:w="0" w:type="dxa"/>
          </w:tblCellMar>
        </w:tblPrEx>
        <w:trPr>
          <w:trHeight w:val="138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首页不更新</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监测2周，首页无信息更新的，即单项否决。</w:t>
            </w:r>
            <w:r>
              <w:rPr>
                <w:rFonts w:hint="eastAsia" w:ascii="仿宋" w:hAnsi="仿宋" w:eastAsia="仿宋" w:cs="宋体"/>
                <w:kern w:val="0"/>
                <w:sz w:val="20"/>
              </w:rPr>
              <w:br w:type="textWrapping"/>
            </w:r>
            <w:r>
              <w:rPr>
                <w:rFonts w:hint="eastAsia" w:ascii="仿宋" w:hAnsi="仿宋" w:eastAsia="仿宋" w:cs="宋体"/>
                <w:kern w:val="0"/>
                <w:sz w:val="20"/>
              </w:rPr>
              <w:t>如首页仅为网站栏目导航入口，所有二级页面无信息更新的，即单项否决。</w:t>
            </w:r>
            <w:r>
              <w:rPr>
                <w:rFonts w:hint="eastAsia" w:ascii="仿宋" w:hAnsi="仿宋" w:eastAsia="仿宋" w:cs="宋体"/>
                <w:kern w:val="0"/>
                <w:sz w:val="20"/>
              </w:rPr>
              <w:br w:type="textWrapping"/>
            </w:r>
            <w:r>
              <w:rPr>
                <w:rFonts w:hint="eastAsia" w:ascii="仿宋" w:hAnsi="仿宋" w:eastAsia="仿宋" w:cs="宋体"/>
                <w:kern w:val="0"/>
                <w:sz w:val="20"/>
              </w:rPr>
              <w:t>（注：稿件发布页未注明发布时间的视为不更新，下同。）</w:t>
            </w:r>
          </w:p>
        </w:tc>
      </w:tr>
      <w:tr>
        <w:tblPrEx>
          <w:tblCellMar>
            <w:top w:w="0" w:type="dxa"/>
            <w:left w:w="0" w:type="dxa"/>
            <w:bottom w:w="0" w:type="dxa"/>
            <w:right w:w="0" w:type="dxa"/>
          </w:tblCellMar>
        </w:tblPrEx>
        <w:trPr>
          <w:trHeight w:val="211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栏目不更新</w:t>
            </w:r>
          </w:p>
        </w:tc>
        <w:tc>
          <w:tcPr>
            <w:tcW w:w="54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1.监测时间点前2周内的动态、要闻类栏目，以及监测时间点前6个月内的通知公告、政策文件类一级栏目，累计超过（含）5个未更新。</w:t>
            </w:r>
            <w:r>
              <w:rPr>
                <w:rFonts w:hint="eastAsia" w:ascii="仿宋" w:hAnsi="仿宋" w:eastAsia="仿宋" w:cs="宋体"/>
                <w:kern w:val="0"/>
                <w:sz w:val="20"/>
              </w:rPr>
              <w:br w:type="textWrapping"/>
            </w:r>
            <w:r>
              <w:rPr>
                <w:rFonts w:hint="eastAsia" w:ascii="仿宋" w:hAnsi="仿宋" w:eastAsia="仿宋" w:cs="宋体"/>
                <w:kern w:val="0"/>
                <w:sz w:val="20"/>
              </w:rPr>
              <w:t>2.应更新但长期未更新的栏目数量超过（含）10个。</w:t>
            </w:r>
            <w:r>
              <w:rPr>
                <w:rFonts w:hint="eastAsia" w:ascii="仿宋" w:hAnsi="仿宋" w:eastAsia="仿宋" w:cs="宋体"/>
                <w:kern w:val="0"/>
                <w:sz w:val="20"/>
              </w:rPr>
              <w:br w:type="textWrapping"/>
            </w:r>
            <w:r>
              <w:rPr>
                <w:rFonts w:hint="eastAsia" w:ascii="仿宋" w:hAnsi="仿宋" w:eastAsia="仿宋" w:cs="宋体"/>
                <w:kern w:val="0"/>
                <w:sz w:val="20"/>
              </w:rPr>
              <w:t>3.空白栏目数量超过（含）5个。</w:t>
            </w:r>
            <w:r>
              <w:rPr>
                <w:rFonts w:hint="eastAsia" w:ascii="仿宋" w:hAnsi="仿宋" w:eastAsia="仿宋" w:cs="宋体"/>
                <w:kern w:val="0"/>
                <w:sz w:val="20"/>
              </w:rPr>
              <w:br w:type="textWrapping"/>
            </w:r>
            <w:r>
              <w:rPr>
                <w:rFonts w:hint="eastAsia" w:ascii="仿宋" w:hAnsi="仿宋" w:eastAsia="仿宋" w:cs="宋体"/>
                <w:kern w:val="0"/>
                <w:sz w:val="20"/>
              </w:rPr>
              <w:t>上述情况出现任意一种，即单项否决。</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4" w:space="0"/>
              <w:right w:val="single" w:color="auto" w:sz="8" w:space="0"/>
            </w:tcBorders>
            <w:vAlign w:val="center"/>
          </w:tcPr>
          <w:p>
            <w:pPr>
              <w:widowControl/>
              <w:jc w:val="left"/>
              <w:rPr>
                <w:rFonts w:ascii="仿宋" w:hAnsi="仿宋" w:eastAsia="仿宋" w:cs="宋体"/>
                <w:kern w:val="0"/>
                <w:sz w:val="24"/>
                <w:szCs w:val="24"/>
              </w:rPr>
            </w:pPr>
          </w:p>
        </w:tc>
        <w:tc>
          <w:tcPr>
            <w:tcW w:w="184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互动回应差</w:t>
            </w:r>
          </w:p>
        </w:tc>
        <w:tc>
          <w:tcPr>
            <w:tcW w:w="547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1.未提供网上有效咨询建言渠道（网上信访、纪检举报等专门渠道除外）。</w:t>
            </w:r>
            <w:r>
              <w:rPr>
                <w:rFonts w:hint="eastAsia" w:ascii="仿宋" w:hAnsi="仿宋" w:eastAsia="仿宋" w:cs="宋体"/>
                <w:kern w:val="0"/>
                <w:sz w:val="20"/>
              </w:rPr>
              <w:br w:type="textWrapping"/>
            </w:r>
            <w:r>
              <w:rPr>
                <w:rFonts w:hint="eastAsia" w:ascii="仿宋" w:hAnsi="仿宋" w:eastAsia="仿宋" w:cs="宋体"/>
                <w:kern w:val="0"/>
                <w:sz w:val="20"/>
              </w:rPr>
              <w:t>2.监测时间点前1年内，对网民留言应及时答复处理的政务咨询类栏目（在线访谈、调查征集、网上信访、纪检举报类栏目除外）存在超过3个月未回应有效留言的现象。</w:t>
            </w:r>
            <w:r>
              <w:rPr>
                <w:rFonts w:hint="eastAsia" w:ascii="仿宋" w:hAnsi="仿宋" w:eastAsia="仿宋" w:cs="宋体"/>
                <w:kern w:val="0"/>
                <w:sz w:val="20"/>
              </w:rPr>
              <w:br w:type="textWrapping"/>
            </w:r>
            <w:r>
              <w:rPr>
                <w:rFonts w:hint="eastAsia" w:ascii="仿宋" w:hAnsi="仿宋" w:eastAsia="仿宋" w:cs="宋体"/>
                <w:kern w:val="0"/>
                <w:sz w:val="20"/>
              </w:rPr>
              <w:t>上述情况出现任意一种，即单项否决。</w:t>
            </w:r>
          </w:p>
        </w:tc>
      </w:tr>
      <w:tr>
        <w:tblPrEx>
          <w:tblCellMar>
            <w:top w:w="0" w:type="dxa"/>
            <w:left w:w="0" w:type="dxa"/>
            <w:bottom w:w="0" w:type="dxa"/>
            <w:right w:w="0"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8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服务不实用</w:t>
            </w:r>
          </w:p>
        </w:tc>
        <w:tc>
          <w:tcPr>
            <w:tcW w:w="54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1.未提供办事服务。</w:t>
            </w:r>
            <w:r>
              <w:rPr>
                <w:rFonts w:hint="eastAsia" w:ascii="仿宋" w:hAnsi="仿宋" w:eastAsia="仿宋" w:cs="宋体"/>
                <w:kern w:val="0"/>
                <w:sz w:val="20"/>
              </w:rPr>
              <w:br w:type="textWrapping"/>
            </w:r>
            <w:r>
              <w:rPr>
                <w:rFonts w:hint="eastAsia" w:ascii="仿宋" w:hAnsi="仿宋" w:eastAsia="仿宋" w:cs="宋体"/>
                <w:kern w:val="0"/>
                <w:sz w:val="20"/>
              </w:rPr>
              <w:t>2.办事指南重点要素类别（包括事项名称、设定依据、申请条件、办理材料、办理地点、办理机构、收费标准、办理时间、联系电话、办理流程）缺失4类及以上的事项数量超过（含）5个。</w:t>
            </w:r>
            <w:r>
              <w:rPr>
                <w:rFonts w:hint="eastAsia" w:ascii="仿宋" w:hAnsi="仿宋" w:eastAsia="仿宋" w:cs="宋体"/>
                <w:kern w:val="0"/>
                <w:sz w:val="20"/>
              </w:rPr>
              <w:br w:type="textWrapping"/>
            </w:r>
            <w:r>
              <w:rPr>
                <w:rFonts w:hint="eastAsia" w:ascii="仿宋" w:hAnsi="仿宋" w:eastAsia="仿宋" w:cs="宋体"/>
                <w:kern w:val="0"/>
                <w:sz w:val="20"/>
              </w:rPr>
              <w:t>3.事项总数不足5个的，每个事项办事指南重点要素类别（包括事项名称、设定依据、申请条件、办理材料、办理地点、办理机构、收费标准、办理时间、联系电话、办理流程）均缺失4类及以上。</w:t>
            </w:r>
            <w:r>
              <w:rPr>
                <w:rFonts w:hint="eastAsia" w:ascii="仿宋" w:hAnsi="仿宋" w:eastAsia="仿宋" w:cs="宋体"/>
                <w:kern w:val="0"/>
                <w:sz w:val="20"/>
              </w:rPr>
              <w:br w:type="textWrapping"/>
            </w:r>
            <w:r>
              <w:rPr>
                <w:rFonts w:hint="eastAsia" w:ascii="仿宋" w:hAnsi="仿宋" w:eastAsia="仿宋" w:cs="宋体"/>
                <w:kern w:val="0"/>
                <w:sz w:val="20"/>
              </w:rPr>
              <w:t>上述情况出现任意一种，即单项否决。</w:t>
            </w:r>
            <w:r>
              <w:rPr>
                <w:rFonts w:hint="eastAsia" w:ascii="仿宋" w:hAnsi="仿宋" w:eastAsia="仿宋" w:cs="宋体"/>
                <w:kern w:val="0"/>
                <w:sz w:val="20"/>
              </w:rPr>
              <w:br w:type="textWrapping"/>
            </w:r>
            <w:r>
              <w:rPr>
                <w:rFonts w:hint="eastAsia" w:ascii="仿宋" w:hAnsi="仿宋" w:eastAsia="仿宋" w:cs="宋体"/>
                <w:kern w:val="0"/>
                <w:sz w:val="20"/>
              </w:rPr>
              <w:t>（注：对没有对外服务职能的部门，不检查其网站该项指标。）</w:t>
            </w:r>
          </w:p>
        </w:tc>
      </w:tr>
    </w:tbl>
    <w:p>
      <w:pPr>
        <w:widowControl/>
        <w:shd w:val="clear" w:color="auto" w:fill="FFFFFF"/>
        <w:rPr>
          <w:rFonts w:ascii="仿宋" w:hAnsi="仿宋" w:eastAsia="仿宋" w:cs="宋体"/>
          <w:color w:val="333333"/>
          <w:kern w:val="0"/>
          <w:sz w:val="24"/>
          <w:szCs w:val="24"/>
        </w:rPr>
      </w:pPr>
    </w:p>
    <w:p>
      <w:pPr>
        <w:widowControl/>
        <w:shd w:val="clear" w:color="auto" w:fill="FFFFFF"/>
        <w:ind w:firstLine="480"/>
        <w:rPr>
          <w:rFonts w:ascii="仿宋" w:hAnsi="仿宋" w:eastAsia="仿宋" w:cs="宋体"/>
          <w:color w:val="333333"/>
          <w:kern w:val="0"/>
          <w:sz w:val="24"/>
          <w:szCs w:val="24"/>
        </w:rPr>
      </w:pPr>
    </w:p>
    <w:tbl>
      <w:tblPr>
        <w:tblStyle w:val="2"/>
        <w:tblW w:w="9071" w:type="dxa"/>
        <w:jc w:val="center"/>
        <w:tblLayout w:type="autofit"/>
        <w:tblCellMar>
          <w:top w:w="0" w:type="dxa"/>
          <w:left w:w="0" w:type="dxa"/>
          <w:bottom w:w="0" w:type="dxa"/>
          <w:right w:w="0" w:type="dxa"/>
        </w:tblCellMar>
      </w:tblPr>
      <w:tblGrid>
        <w:gridCol w:w="1476"/>
        <w:gridCol w:w="1440"/>
        <w:gridCol w:w="5430"/>
        <w:gridCol w:w="725"/>
      </w:tblGrid>
      <w:tr>
        <w:tblPrEx>
          <w:tblCellMar>
            <w:top w:w="0" w:type="dxa"/>
            <w:left w:w="0" w:type="dxa"/>
            <w:bottom w:w="0" w:type="dxa"/>
            <w:right w:w="0" w:type="dxa"/>
          </w:tblCellMar>
        </w:tblPrEx>
        <w:trPr>
          <w:jc w:val="center"/>
        </w:trPr>
        <w:tc>
          <w:tcPr>
            <w:tcW w:w="14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0"/>
              </w:rPr>
              <w:t>一级指标</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0"/>
              </w:rPr>
              <w:t>二级指标</w:t>
            </w:r>
          </w:p>
        </w:tc>
        <w:tc>
          <w:tcPr>
            <w:tcW w:w="54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0"/>
              </w:rPr>
              <w:t>评分细则</w:t>
            </w:r>
          </w:p>
        </w:tc>
        <w:tc>
          <w:tcPr>
            <w:tcW w:w="7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b/>
                <w:bCs/>
                <w:kern w:val="0"/>
                <w:sz w:val="20"/>
              </w:rPr>
              <w:t>分值</w:t>
            </w:r>
          </w:p>
        </w:tc>
      </w:tr>
      <w:tr>
        <w:tblPrEx>
          <w:tblCellMar>
            <w:top w:w="0" w:type="dxa"/>
            <w:left w:w="0" w:type="dxa"/>
            <w:bottom w:w="0" w:type="dxa"/>
            <w:right w:w="0" w:type="dxa"/>
          </w:tblCellMar>
        </w:tblPrEx>
        <w:trPr>
          <w:trHeight w:val="1100" w:hRule="atLeast"/>
          <w:jc w:val="center"/>
        </w:trPr>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发布解读</w:t>
            </w:r>
          </w:p>
          <w:p>
            <w:pPr>
              <w:widowControl/>
              <w:jc w:val="center"/>
              <w:rPr>
                <w:rFonts w:ascii="仿宋" w:hAnsi="仿宋" w:eastAsia="仿宋" w:cs="宋体"/>
                <w:kern w:val="0"/>
                <w:sz w:val="24"/>
                <w:szCs w:val="24"/>
              </w:rPr>
            </w:pPr>
            <w:r>
              <w:rPr>
                <w:rFonts w:hint="eastAsia" w:ascii="仿宋" w:hAnsi="仿宋" w:eastAsia="仿宋" w:cs="宋体"/>
                <w:kern w:val="0"/>
                <w:sz w:val="20"/>
              </w:rPr>
              <w:t>（31分）</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概况信息</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1.未开设概况信息类栏目的，扣2分。</w:t>
            </w:r>
            <w:r>
              <w:rPr>
                <w:rFonts w:hint="eastAsia" w:ascii="仿宋" w:hAnsi="仿宋" w:eastAsia="仿宋" w:cs="宋体"/>
                <w:kern w:val="0"/>
                <w:sz w:val="20"/>
              </w:rPr>
              <w:br w:type="textWrapping"/>
            </w:r>
            <w:r>
              <w:rPr>
                <w:rFonts w:hint="eastAsia" w:ascii="仿宋" w:hAnsi="仿宋" w:eastAsia="仿宋" w:cs="宋体"/>
                <w:kern w:val="0"/>
                <w:sz w:val="20"/>
              </w:rPr>
              <w:t>2.概况信息更新不及时或不准确的，每发现一处，扣1分。</w:t>
            </w:r>
            <w:r>
              <w:rPr>
                <w:rFonts w:hint="eastAsia" w:ascii="仿宋" w:hAnsi="仿宋" w:eastAsia="仿宋" w:cs="宋体"/>
                <w:kern w:val="0"/>
                <w:sz w:val="20"/>
              </w:rPr>
              <w:br w:type="textWrapping"/>
            </w:r>
            <w:r>
              <w:rPr>
                <w:rFonts w:hint="eastAsia" w:ascii="仿宋" w:hAnsi="仿宋" w:eastAsia="仿宋" w:cs="宋体"/>
                <w:kern w:val="0"/>
                <w:sz w:val="20"/>
              </w:rPr>
              <w:t>（注：对国务院部门门户网站不检查该项指标。）</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2</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机构职能</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1.未开设机构职能类栏目的，扣2分。</w:t>
            </w:r>
            <w:r>
              <w:rPr>
                <w:rFonts w:hint="eastAsia" w:ascii="仿宋" w:hAnsi="仿宋" w:eastAsia="仿宋" w:cs="宋体"/>
                <w:kern w:val="0"/>
                <w:sz w:val="20"/>
              </w:rPr>
              <w:br w:type="textWrapping"/>
            </w:r>
            <w:r>
              <w:rPr>
                <w:rFonts w:hint="eastAsia" w:ascii="仿宋" w:hAnsi="仿宋" w:eastAsia="仿宋" w:cs="宋体"/>
                <w:kern w:val="0"/>
                <w:sz w:val="20"/>
              </w:rPr>
              <w:t>2.机构职能信息不准确的，每发现一处，扣1分。</w:t>
            </w:r>
            <w:r>
              <w:rPr>
                <w:rFonts w:hint="eastAsia" w:ascii="仿宋" w:hAnsi="仿宋" w:eastAsia="仿宋" w:cs="宋体"/>
                <w:kern w:val="0"/>
                <w:sz w:val="20"/>
              </w:rPr>
              <w:br w:type="textWrapping"/>
            </w:r>
            <w:r>
              <w:rPr>
                <w:rFonts w:hint="eastAsia" w:ascii="仿宋" w:hAnsi="仿宋" w:eastAsia="仿宋" w:cs="宋体"/>
                <w:kern w:val="0"/>
                <w:sz w:val="20"/>
              </w:rPr>
              <w:t>（注：国务院部门门户网站未开设机构职能类栏目扣4分，信息不准确的，每发现一处扣1分，最多扣4分。）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2</w:t>
            </w:r>
          </w:p>
        </w:tc>
      </w:tr>
      <w:tr>
        <w:tblPrEx>
          <w:tblCellMar>
            <w:top w:w="0" w:type="dxa"/>
            <w:left w:w="0" w:type="dxa"/>
            <w:bottom w:w="0" w:type="dxa"/>
            <w:right w:w="0" w:type="dxa"/>
          </w:tblCellMar>
        </w:tblPrEx>
        <w:trPr>
          <w:trHeight w:val="113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领导信息</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1.未开设领导信息类栏目的，扣2分。</w:t>
            </w:r>
            <w:r>
              <w:rPr>
                <w:rFonts w:hint="eastAsia" w:ascii="仿宋" w:hAnsi="仿宋" w:eastAsia="仿宋" w:cs="宋体"/>
                <w:kern w:val="0"/>
                <w:sz w:val="20"/>
              </w:rPr>
              <w:br w:type="textWrapping"/>
            </w:r>
            <w:r>
              <w:rPr>
                <w:rFonts w:hint="eastAsia" w:ascii="仿宋" w:hAnsi="仿宋" w:eastAsia="仿宋" w:cs="宋体"/>
                <w:kern w:val="0"/>
                <w:sz w:val="20"/>
              </w:rPr>
              <w:t>2.领导姓名、简历等信息缺失或不准确的，每发现一处，扣1分。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2</w:t>
            </w:r>
          </w:p>
        </w:tc>
      </w:tr>
      <w:tr>
        <w:tblPrEx>
          <w:tblCellMar>
            <w:top w:w="0" w:type="dxa"/>
            <w:left w:w="0" w:type="dxa"/>
            <w:bottom w:w="0" w:type="dxa"/>
            <w:right w:w="0" w:type="dxa"/>
          </w:tblCellMar>
        </w:tblPrEx>
        <w:trPr>
          <w:trHeight w:val="82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动态要闻</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1.未开设动态要闻类栏目的，扣5分。</w:t>
            </w:r>
            <w:r>
              <w:rPr>
                <w:rFonts w:hint="eastAsia" w:ascii="仿宋" w:hAnsi="仿宋" w:eastAsia="仿宋" w:cs="宋体"/>
                <w:kern w:val="0"/>
                <w:sz w:val="20"/>
              </w:rPr>
              <w:br w:type="textWrapping"/>
            </w:r>
            <w:r>
              <w:rPr>
                <w:rFonts w:hint="eastAsia" w:ascii="仿宋" w:hAnsi="仿宋" w:eastAsia="仿宋" w:cs="宋体"/>
                <w:kern w:val="0"/>
                <w:sz w:val="20"/>
              </w:rPr>
              <w:t>2.监测时间点前2周内未更新的，扣5分。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5</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政策文件</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1.未开设政策文件类栏目的，扣5分。</w:t>
            </w:r>
            <w:r>
              <w:rPr>
                <w:rFonts w:hint="eastAsia" w:ascii="仿宋" w:hAnsi="仿宋" w:eastAsia="仿宋" w:cs="宋体"/>
                <w:kern w:val="0"/>
                <w:sz w:val="20"/>
              </w:rPr>
              <w:br w:type="textWrapping"/>
            </w:r>
            <w:r>
              <w:rPr>
                <w:rFonts w:hint="eastAsia" w:ascii="仿宋" w:hAnsi="仿宋" w:eastAsia="仿宋" w:cs="宋体"/>
                <w:kern w:val="0"/>
                <w:sz w:val="20"/>
              </w:rPr>
              <w:t>2.监测时间点前6个月内政策文件类一级栏目未更新的，扣5分。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5</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4"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政策解读</w:t>
            </w:r>
          </w:p>
        </w:tc>
        <w:tc>
          <w:tcPr>
            <w:tcW w:w="543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1.未开设政策解读类栏目的，扣5分。</w:t>
            </w:r>
            <w:r>
              <w:rPr>
                <w:rFonts w:hint="eastAsia" w:ascii="仿宋" w:hAnsi="仿宋" w:eastAsia="仿宋" w:cs="宋体"/>
                <w:kern w:val="0"/>
                <w:sz w:val="20"/>
              </w:rPr>
              <w:br w:type="textWrapping"/>
            </w:r>
            <w:r>
              <w:rPr>
                <w:rFonts w:hint="eastAsia" w:ascii="仿宋" w:hAnsi="仿宋" w:eastAsia="仿宋" w:cs="宋体"/>
                <w:kern w:val="0"/>
                <w:sz w:val="20"/>
              </w:rPr>
              <w:t>2.监测时间点前6个月内政策解读类一级栏目未更新的，扣5分。</w:t>
            </w:r>
          </w:p>
        </w:tc>
        <w:tc>
          <w:tcPr>
            <w:tcW w:w="72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5</w:t>
            </w:r>
          </w:p>
        </w:tc>
      </w:tr>
      <w:tr>
        <w:tblPrEx>
          <w:tblCellMar>
            <w:top w:w="0" w:type="dxa"/>
            <w:left w:w="0" w:type="dxa"/>
            <w:bottom w:w="0" w:type="dxa"/>
            <w:right w:w="0" w:type="dxa"/>
          </w:tblCellMar>
        </w:tblPrEx>
        <w:trPr>
          <w:trHeight w:val="14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解读比例</w:t>
            </w:r>
          </w:p>
        </w:tc>
        <w:tc>
          <w:tcPr>
            <w:tcW w:w="5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随机抽查网站已发布的3个以本地区本部门或本地区本部门办公厅（室）名义印发的涉及面广、社会关注度高的政策文件，被解读的文件数量每少一个，扣1分。</w:t>
            </w:r>
            <w:r>
              <w:rPr>
                <w:rFonts w:hint="eastAsia" w:ascii="仿宋" w:hAnsi="仿宋" w:eastAsia="仿宋" w:cs="宋体"/>
                <w:kern w:val="0"/>
                <w:sz w:val="20"/>
              </w:rPr>
              <w:br w:type="textWrapping"/>
            </w:r>
            <w:r>
              <w:rPr>
                <w:rFonts w:hint="eastAsia" w:ascii="仿宋" w:hAnsi="仿宋" w:eastAsia="仿宋" w:cs="宋体"/>
                <w:kern w:val="0"/>
                <w:sz w:val="20"/>
              </w:rPr>
              <w:t>（注：不足3个的则检查全部文件。）</w:t>
            </w:r>
          </w:p>
        </w:tc>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3</w:t>
            </w:r>
          </w:p>
        </w:tc>
      </w:tr>
      <w:tr>
        <w:tblPrEx>
          <w:tblCellMar>
            <w:top w:w="0" w:type="dxa"/>
            <w:left w:w="0" w:type="dxa"/>
            <w:bottom w:w="0" w:type="dxa"/>
            <w:right w:w="0" w:type="dxa"/>
          </w:tblCellMar>
        </w:tblPrEx>
        <w:trPr>
          <w:trHeight w:val="1273" w:hRule="atLeast"/>
          <w:jc w:val="center"/>
        </w:trPr>
        <w:tc>
          <w:tcPr>
            <w:tcW w:w="0" w:type="auto"/>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解读关联</w:t>
            </w:r>
          </w:p>
        </w:tc>
        <w:tc>
          <w:tcPr>
            <w:tcW w:w="543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随机抽查网站已发布的3个解读稿：未与被解读的政策文件相关联的，每发现一处，扣0.5分；该政策文件未与被抽查解读稿相关联的，每发现一处，扣0.5分。</w:t>
            </w:r>
            <w:r>
              <w:rPr>
                <w:rFonts w:hint="eastAsia" w:ascii="仿宋" w:hAnsi="仿宋" w:eastAsia="仿宋" w:cs="宋体"/>
                <w:kern w:val="0"/>
                <w:sz w:val="20"/>
              </w:rPr>
              <w:br w:type="textWrapping"/>
            </w:r>
            <w:r>
              <w:rPr>
                <w:rFonts w:hint="eastAsia" w:ascii="仿宋" w:hAnsi="仿宋" w:eastAsia="仿宋" w:cs="宋体"/>
                <w:kern w:val="0"/>
                <w:sz w:val="20"/>
              </w:rPr>
              <w:t>（注：不足3个的则检查全部解读稿。）</w:t>
            </w:r>
          </w:p>
        </w:tc>
        <w:tc>
          <w:tcPr>
            <w:tcW w:w="72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ascii="Calibri" w:hAnsi="Calibri" w:eastAsia="仿宋" w:cs="Calibri"/>
                <w:kern w:val="0"/>
                <w:sz w:val="20"/>
              </w:rPr>
              <w:t> </w:t>
            </w:r>
            <w:r>
              <w:rPr>
                <w:rFonts w:hint="eastAsia" w:ascii="仿宋" w:hAnsi="仿宋" w:eastAsia="仿宋" w:cs="宋体"/>
                <w:kern w:val="0"/>
                <w:sz w:val="20"/>
              </w:rPr>
              <w:t>3</w:t>
            </w:r>
          </w:p>
        </w:tc>
      </w:tr>
      <w:tr>
        <w:tblPrEx>
          <w:tblCellMar>
            <w:top w:w="0" w:type="dxa"/>
            <w:left w:w="0" w:type="dxa"/>
            <w:bottom w:w="0" w:type="dxa"/>
            <w:right w:w="0" w:type="dxa"/>
          </w:tblCellMar>
        </w:tblPrEx>
        <w:trPr>
          <w:trHeight w:val="153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其他栏目</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1.其他栏目存在空白的，每发现一个，扣2分。</w:t>
            </w:r>
            <w:r>
              <w:rPr>
                <w:rFonts w:hint="eastAsia" w:ascii="仿宋" w:hAnsi="仿宋" w:eastAsia="仿宋" w:cs="宋体"/>
                <w:kern w:val="0"/>
                <w:sz w:val="20"/>
              </w:rPr>
              <w:br w:type="textWrapping"/>
            </w:r>
            <w:r>
              <w:rPr>
                <w:rFonts w:hint="eastAsia" w:ascii="仿宋" w:hAnsi="仿宋" w:eastAsia="仿宋" w:cs="宋体"/>
                <w:kern w:val="0"/>
                <w:sz w:val="20"/>
              </w:rPr>
              <w:t>2.其他栏目存在应更新未更新的，每发现一个，扣1分。</w:t>
            </w:r>
            <w:r>
              <w:rPr>
                <w:rFonts w:hint="eastAsia" w:ascii="仿宋" w:hAnsi="仿宋" w:eastAsia="仿宋" w:cs="宋体"/>
                <w:kern w:val="0"/>
                <w:sz w:val="20"/>
              </w:rPr>
              <w:br w:type="textWrapping"/>
            </w:r>
            <w:r>
              <w:rPr>
                <w:rFonts w:hint="eastAsia" w:ascii="仿宋" w:hAnsi="仿宋" w:eastAsia="仿宋" w:cs="宋体"/>
                <w:kern w:val="0"/>
                <w:sz w:val="20"/>
              </w:rPr>
              <w:t>（注：因空白、应更新未更新等原因已按其他指标扣分的，本指标项下不重复扣分。）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4</w:t>
            </w:r>
          </w:p>
        </w:tc>
      </w:tr>
      <w:tr>
        <w:tblPrEx>
          <w:tblCellMar>
            <w:top w:w="0" w:type="dxa"/>
            <w:left w:w="0" w:type="dxa"/>
            <w:bottom w:w="0" w:type="dxa"/>
            <w:right w:w="0" w:type="dxa"/>
          </w:tblCellMar>
        </w:tblPrEx>
        <w:trPr>
          <w:trHeight w:val="553" w:hRule="atLeast"/>
          <w:jc w:val="center"/>
        </w:trPr>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办事服务</w:t>
            </w:r>
          </w:p>
          <w:p>
            <w:pPr>
              <w:widowControl/>
              <w:jc w:val="center"/>
              <w:rPr>
                <w:rFonts w:ascii="仿宋" w:hAnsi="仿宋" w:eastAsia="仿宋" w:cs="宋体"/>
                <w:kern w:val="0"/>
                <w:sz w:val="24"/>
                <w:szCs w:val="24"/>
              </w:rPr>
            </w:pPr>
            <w:r>
              <w:rPr>
                <w:rFonts w:hint="eastAsia" w:ascii="仿宋" w:hAnsi="仿宋" w:eastAsia="仿宋" w:cs="宋体"/>
                <w:kern w:val="0"/>
                <w:sz w:val="20"/>
              </w:rPr>
              <w:t>（25分）</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事项公开</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未对办事服务事项集中分类展示的，扣3分。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3</w:t>
            </w:r>
          </w:p>
        </w:tc>
      </w:tr>
      <w:tr>
        <w:tblPrEx>
          <w:tblCellMar>
            <w:top w:w="0" w:type="dxa"/>
            <w:left w:w="0" w:type="dxa"/>
            <w:bottom w:w="0" w:type="dxa"/>
            <w:right w:w="0" w:type="dxa"/>
          </w:tblCellMar>
        </w:tblPrEx>
        <w:trPr>
          <w:trHeight w:val="124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在线申请</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1.未提供在线注册功能或提供注册功能但用户（含异地用户）无法注册的，扣5分。</w:t>
            </w:r>
            <w:r>
              <w:rPr>
                <w:rFonts w:hint="eastAsia" w:ascii="仿宋" w:hAnsi="仿宋" w:eastAsia="仿宋" w:cs="宋体"/>
                <w:kern w:val="0"/>
                <w:sz w:val="20"/>
              </w:rPr>
              <w:br w:type="textWrapping"/>
            </w:r>
            <w:r>
              <w:rPr>
                <w:rFonts w:hint="eastAsia" w:ascii="仿宋" w:hAnsi="仿宋" w:eastAsia="仿宋" w:cs="宋体"/>
                <w:kern w:val="0"/>
                <w:sz w:val="20"/>
              </w:rPr>
              <w:t>2.注册用户无法在线办事的，扣5分。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5</w:t>
            </w:r>
          </w:p>
        </w:tc>
      </w:tr>
      <w:tr>
        <w:tblPrEx>
          <w:tblCellMar>
            <w:top w:w="0" w:type="dxa"/>
            <w:left w:w="0" w:type="dxa"/>
            <w:bottom w:w="0" w:type="dxa"/>
            <w:right w:w="0" w:type="dxa"/>
          </w:tblCellMar>
        </w:tblPrEx>
        <w:trPr>
          <w:trHeight w:val="125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办事统计</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1.未公开办事统计数据的，扣2分。</w:t>
            </w:r>
            <w:r>
              <w:rPr>
                <w:rFonts w:hint="eastAsia" w:ascii="仿宋" w:hAnsi="仿宋" w:eastAsia="仿宋" w:cs="宋体"/>
                <w:kern w:val="0"/>
                <w:sz w:val="20"/>
              </w:rPr>
              <w:br w:type="textWrapping"/>
            </w:r>
            <w:r>
              <w:rPr>
                <w:rFonts w:hint="eastAsia" w:ascii="仿宋" w:hAnsi="仿宋" w:eastAsia="仿宋" w:cs="宋体"/>
                <w:kern w:val="0"/>
                <w:sz w:val="20"/>
              </w:rPr>
              <w:t>2.监测时间点前1个月内未更新的，扣1分；3个月内未更新的，扣2分。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2</w:t>
            </w:r>
          </w:p>
        </w:tc>
      </w:tr>
      <w:tr>
        <w:tblPrEx>
          <w:tblCellMar>
            <w:top w:w="0" w:type="dxa"/>
            <w:left w:w="0" w:type="dxa"/>
            <w:bottom w:w="0" w:type="dxa"/>
            <w:right w:w="0" w:type="dxa"/>
          </w:tblCellMar>
        </w:tblPrEx>
        <w:trPr>
          <w:trHeight w:val="493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办事指南</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随机抽查5个办事服务事项：</w:t>
            </w:r>
            <w:r>
              <w:rPr>
                <w:rFonts w:hint="eastAsia" w:ascii="仿宋" w:hAnsi="仿宋" w:eastAsia="仿宋" w:cs="宋体"/>
                <w:kern w:val="0"/>
                <w:sz w:val="20"/>
              </w:rPr>
              <w:br w:type="textWrapping"/>
            </w:r>
            <w:r>
              <w:rPr>
                <w:rFonts w:hint="eastAsia" w:ascii="仿宋" w:hAnsi="仿宋" w:eastAsia="仿宋" w:cs="宋体"/>
                <w:kern w:val="0"/>
                <w:sz w:val="20"/>
              </w:rPr>
              <w:t>1.事项无办事指南的，每发现一个，扣4分；</w:t>
            </w:r>
            <w:r>
              <w:rPr>
                <w:rFonts w:hint="eastAsia" w:ascii="仿宋" w:hAnsi="仿宋" w:eastAsia="仿宋" w:cs="宋体"/>
                <w:kern w:val="0"/>
                <w:sz w:val="20"/>
              </w:rPr>
              <w:br w:type="textWrapping"/>
            </w:r>
            <w:r>
              <w:rPr>
                <w:rFonts w:hint="eastAsia" w:ascii="仿宋" w:hAnsi="仿宋" w:eastAsia="仿宋" w:cs="宋体"/>
                <w:kern w:val="0"/>
                <w:sz w:val="20"/>
              </w:rPr>
              <w:t>2.提供办事指南，但重点要素类别（包括事项名称、设定依据、申请条件、办理材料、办理地点、办理机构、收费标准、办理时间、联系电话、办理流程）缺失的，每发现一处，扣0.5分；</w:t>
            </w:r>
            <w:r>
              <w:rPr>
                <w:rFonts w:hint="eastAsia" w:ascii="仿宋" w:hAnsi="仿宋" w:eastAsia="仿宋" w:cs="宋体"/>
                <w:kern w:val="0"/>
                <w:sz w:val="20"/>
              </w:rPr>
              <w:br w:type="textWrapping"/>
            </w:r>
            <w:r>
              <w:rPr>
                <w:rFonts w:hint="eastAsia" w:ascii="仿宋" w:hAnsi="仿宋" w:eastAsia="仿宋" w:cs="宋体"/>
                <w:kern w:val="0"/>
                <w:sz w:val="20"/>
              </w:rPr>
              <w:t>3.办理材料格式要求不明确的（如未说明原件/复印件、纸质版/电子版、份数等），每发现一个存在该问题的事项，扣1分；</w:t>
            </w:r>
            <w:r>
              <w:rPr>
                <w:rFonts w:hint="eastAsia" w:ascii="仿宋" w:hAnsi="仿宋" w:eastAsia="仿宋" w:cs="宋体"/>
                <w:kern w:val="0"/>
                <w:sz w:val="20"/>
              </w:rPr>
              <w:br w:type="textWrapping"/>
            </w:r>
            <w:r>
              <w:rPr>
                <w:rFonts w:hint="eastAsia" w:ascii="仿宋" w:hAnsi="仿宋" w:eastAsia="仿宋" w:cs="宋体"/>
                <w:kern w:val="0"/>
                <w:sz w:val="20"/>
              </w:rPr>
              <w:t>4.存在表述含糊不清的情形（如“根据有关法律法规规定应提交的其他材料”等表述），每发现一个存在该问题的事项，扣2分；</w:t>
            </w:r>
            <w:r>
              <w:rPr>
                <w:rFonts w:hint="eastAsia" w:ascii="仿宋" w:hAnsi="仿宋" w:eastAsia="仿宋" w:cs="宋体"/>
                <w:kern w:val="0"/>
                <w:sz w:val="20"/>
              </w:rPr>
              <w:br w:type="textWrapping"/>
            </w:r>
            <w:r>
              <w:rPr>
                <w:rFonts w:hint="eastAsia" w:ascii="仿宋" w:hAnsi="仿宋" w:eastAsia="仿宋" w:cs="宋体"/>
                <w:kern w:val="0"/>
                <w:sz w:val="20"/>
              </w:rPr>
              <w:t>5.办事指南中提到的政策文件仅有名称、未说明具体内容的，每发现一个存在该问题的事项，扣0.5分。</w:t>
            </w:r>
            <w:r>
              <w:rPr>
                <w:rFonts w:hint="eastAsia" w:ascii="仿宋" w:hAnsi="仿宋" w:eastAsia="仿宋" w:cs="宋体"/>
                <w:kern w:val="0"/>
                <w:sz w:val="20"/>
              </w:rPr>
              <w:br w:type="textWrapping"/>
            </w:r>
            <w:r>
              <w:rPr>
                <w:rFonts w:hint="eastAsia" w:ascii="仿宋" w:hAnsi="仿宋" w:eastAsia="仿宋" w:cs="宋体"/>
                <w:kern w:val="0"/>
                <w:sz w:val="20"/>
              </w:rPr>
              <w:t>（注：不足5个的则检查全部事项。）</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8</w:t>
            </w:r>
          </w:p>
        </w:tc>
      </w:tr>
      <w:tr>
        <w:tblPrEx>
          <w:tblCellMar>
            <w:top w:w="0" w:type="dxa"/>
            <w:left w:w="0" w:type="dxa"/>
            <w:bottom w:w="0" w:type="dxa"/>
            <w:right w:w="0" w:type="dxa"/>
          </w:tblCellMar>
        </w:tblPrEx>
        <w:trPr>
          <w:trHeight w:val="154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内容准确</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随机抽查5个办事指南，信息（如咨询电话、投诉电话等）存在错误，或与实际办事要求不一致的，每发现一处，扣1分。</w:t>
            </w:r>
            <w:r>
              <w:rPr>
                <w:rFonts w:hint="eastAsia" w:ascii="仿宋" w:hAnsi="仿宋" w:eastAsia="仿宋" w:cs="宋体"/>
                <w:kern w:val="0"/>
                <w:sz w:val="20"/>
              </w:rPr>
              <w:br w:type="textWrapping"/>
            </w:r>
            <w:r>
              <w:rPr>
                <w:rFonts w:hint="eastAsia" w:ascii="仿宋" w:hAnsi="仿宋" w:eastAsia="仿宋" w:cs="宋体"/>
                <w:kern w:val="0"/>
                <w:sz w:val="20"/>
              </w:rPr>
              <w:t>（注：不足5个的则检查全部指南。）</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5</w:t>
            </w:r>
          </w:p>
        </w:tc>
      </w:tr>
      <w:tr>
        <w:tblPrEx>
          <w:tblCellMar>
            <w:top w:w="0" w:type="dxa"/>
            <w:left w:w="0" w:type="dxa"/>
            <w:bottom w:w="0" w:type="dxa"/>
            <w:right w:w="0" w:type="dxa"/>
          </w:tblCellMar>
        </w:tblPrEx>
        <w:trPr>
          <w:trHeight w:val="1255" w:hRule="atLeast"/>
          <w:jc w:val="center"/>
        </w:trPr>
        <w:tc>
          <w:tcPr>
            <w:tcW w:w="0" w:type="auto"/>
            <w:vMerge w:val="continue"/>
            <w:tcBorders>
              <w:top w:val="nil"/>
              <w:left w:val="single" w:color="auto" w:sz="8" w:space="0"/>
              <w:bottom w:val="single" w:color="auto" w:sz="4"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表格样表</w:t>
            </w:r>
          </w:p>
        </w:tc>
        <w:tc>
          <w:tcPr>
            <w:tcW w:w="543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4"/>
                <w:szCs w:val="24"/>
              </w:rPr>
            </w:pPr>
            <w:r>
              <w:rPr>
                <w:rFonts w:hint="eastAsia" w:ascii="仿宋" w:hAnsi="仿宋" w:eastAsia="仿宋" w:cs="宋体"/>
                <w:kern w:val="0"/>
                <w:sz w:val="20"/>
              </w:rPr>
              <w:t>随机抽查2个办事指南，要求办事人提供申请表、申请书等表单但未提供规范表格获取渠道的，每发现一个存在该问题的办事指南，扣1分。</w:t>
            </w:r>
          </w:p>
        </w:tc>
        <w:tc>
          <w:tcPr>
            <w:tcW w:w="72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2</w:t>
            </w:r>
          </w:p>
        </w:tc>
      </w:tr>
      <w:tr>
        <w:tblPrEx>
          <w:tblCellMar>
            <w:top w:w="0" w:type="dxa"/>
            <w:left w:w="0" w:type="dxa"/>
            <w:bottom w:w="0" w:type="dxa"/>
            <w:right w:w="0" w:type="dxa"/>
          </w:tblCellMar>
        </w:tblPrEx>
        <w:trPr>
          <w:trHeight w:val="843" w:hRule="atLeast"/>
          <w:jc w:val="center"/>
        </w:trPr>
        <w:tc>
          <w:tcPr>
            <w:tcW w:w="147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互动交流</w:t>
            </w:r>
          </w:p>
          <w:p>
            <w:pPr>
              <w:widowControl/>
              <w:jc w:val="center"/>
              <w:rPr>
                <w:rFonts w:ascii="仿宋" w:hAnsi="仿宋" w:eastAsia="仿宋" w:cs="宋体"/>
                <w:kern w:val="0"/>
                <w:sz w:val="24"/>
                <w:szCs w:val="24"/>
              </w:rPr>
            </w:pPr>
            <w:r>
              <w:rPr>
                <w:rFonts w:hint="eastAsia" w:ascii="仿宋" w:hAnsi="仿宋" w:eastAsia="仿宋" w:cs="宋体"/>
                <w:kern w:val="0"/>
                <w:sz w:val="20"/>
              </w:rPr>
              <w:t>（23分）</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信息提交</w:t>
            </w:r>
          </w:p>
        </w:tc>
        <w:tc>
          <w:tcPr>
            <w:tcW w:w="5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rPr>
                <w:rFonts w:ascii="仿宋" w:hAnsi="仿宋" w:eastAsia="仿宋" w:cs="宋体"/>
                <w:kern w:val="0"/>
                <w:sz w:val="24"/>
                <w:szCs w:val="24"/>
              </w:rPr>
            </w:pPr>
            <w:r>
              <w:rPr>
                <w:rFonts w:hint="eastAsia" w:ascii="仿宋" w:hAnsi="仿宋" w:eastAsia="仿宋" w:cs="宋体"/>
                <w:kern w:val="0"/>
                <w:sz w:val="20"/>
              </w:rPr>
              <w:t>存在网民（含异地用户）无法使用网站互动交流功能提交信息问题的，扣7分。</w:t>
            </w:r>
          </w:p>
        </w:tc>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7</w:t>
            </w:r>
          </w:p>
        </w:tc>
      </w:tr>
      <w:tr>
        <w:tblPrEx>
          <w:tblCellMar>
            <w:top w:w="0" w:type="dxa"/>
            <w:left w:w="0" w:type="dxa"/>
            <w:bottom w:w="0" w:type="dxa"/>
            <w:right w:w="0" w:type="dxa"/>
          </w:tblCellMar>
        </w:tblPrEx>
        <w:trPr>
          <w:jc w:val="center"/>
        </w:trPr>
        <w:tc>
          <w:tcPr>
            <w:tcW w:w="0" w:type="auto"/>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统一登录</w:t>
            </w:r>
          </w:p>
        </w:tc>
        <w:tc>
          <w:tcPr>
            <w:tcW w:w="543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4"/>
                <w:szCs w:val="24"/>
              </w:rPr>
            </w:pPr>
            <w:r>
              <w:rPr>
                <w:rFonts w:hint="eastAsia" w:ascii="仿宋" w:hAnsi="仿宋" w:eastAsia="仿宋" w:cs="宋体"/>
                <w:kern w:val="0"/>
                <w:sz w:val="20"/>
              </w:rPr>
              <w:t>网站各个具有互动交流功能的栏目（网上信访、纪检举报等专门渠道除外）提供的注册登录功能，未实现统一注册登录的，扣3分。</w:t>
            </w:r>
          </w:p>
        </w:tc>
        <w:tc>
          <w:tcPr>
            <w:tcW w:w="72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3</w:t>
            </w:r>
          </w:p>
        </w:tc>
      </w:tr>
      <w:tr>
        <w:tblPrEx>
          <w:tblCellMar>
            <w:top w:w="0" w:type="dxa"/>
            <w:left w:w="0" w:type="dxa"/>
            <w:bottom w:w="0" w:type="dxa"/>
            <w:right w:w="0" w:type="dxa"/>
          </w:tblCellMar>
        </w:tblPrEx>
        <w:trPr>
          <w:trHeight w:val="228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留言公开</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1.咨询建言类栏目（网上信访、纪检举报等专门渠道除外）对所有网民留言都未公开的，扣6分。</w:t>
            </w:r>
            <w:r>
              <w:rPr>
                <w:rFonts w:hint="eastAsia" w:ascii="仿宋" w:hAnsi="仿宋" w:eastAsia="仿宋" w:cs="宋体"/>
                <w:kern w:val="0"/>
                <w:sz w:val="20"/>
              </w:rPr>
              <w:br w:type="textWrapping"/>
            </w:r>
            <w:r>
              <w:rPr>
                <w:rFonts w:hint="eastAsia" w:ascii="仿宋" w:hAnsi="仿宋" w:eastAsia="仿宋" w:cs="宋体"/>
                <w:kern w:val="0"/>
                <w:sz w:val="20"/>
              </w:rPr>
              <w:t>2.随机抽查5条已公开的网民留言，未公开留言时间、答复时间、答复单位、答复内容的，每发现一处，扣1分。</w:t>
            </w:r>
            <w:r>
              <w:rPr>
                <w:rFonts w:hint="eastAsia" w:ascii="仿宋" w:hAnsi="仿宋" w:eastAsia="仿宋" w:cs="宋体"/>
                <w:kern w:val="0"/>
                <w:sz w:val="20"/>
              </w:rPr>
              <w:br w:type="textWrapping"/>
            </w:r>
            <w:r>
              <w:rPr>
                <w:rFonts w:hint="eastAsia" w:ascii="仿宋" w:hAnsi="仿宋" w:eastAsia="仿宋" w:cs="宋体"/>
                <w:kern w:val="0"/>
                <w:sz w:val="20"/>
              </w:rPr>
              <w:t>3.监测时间点前2个月内未更新的，扣3分。</w:t>
            </w:r>
            <w:r>
              <w:rPr>
                <w:rFonts w:hint="eastAsia" w:ascii="仿宋" w:hAnsi="仿宋" w:eastAsia="仿宋" w:cs="宋体"/>
                <w:kern w:val="0"/>
                <w:sz w:val="20"/>
              </w:rPr>
              <w:br w:type="textWrapping"/>
            </w:r>
            <w:r>
              <w:rPr>
                <w:rFonts w:hint="eastAsia" w:ascii="仿宋" w:hAnsi="仿宋" w:eastAsia="仿宋" w:cs="宋体"/>
                <w:kern w:val="0"/>
                <w:sz w:val="20"/>
              </w:rPr>
              <w:t>4.未公开留言受理反馈情况统计数据的，扣3分。</w:t>
            </w:r>
            <w:r>
              <w:rPr>
                <w:rFonts w:hint="eastAsia" w:ascii="仿宋" w:hAnsi="仿宋" w:eastAsia="仿宋" w:cs="宋体"/>
                <w:kern w:val="0"/>
                <w:sz w:val="20"/>
              </w:rPr>
              <w:br w:type="textWrapping"/>
            </w:r>
            <w:r>
              <w:rPr>
                <w:rFonts w:hint="eastAsia" w:ascii="仿宋" w:hAnsi="仿宋" w:eastAsia="仿宋" w:cs="宋体"/>
                <w:kern w:val="0"/>
                <w:sz w:val="20"/>
              </w:rPr>
              <w:t>（注：不足5条的则检查全部留言。）</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6</w:t>
            </w:r>
          </w:p>
        </w:tc>
      </w:tr>
      <w:tr>
        <w:tblPrEx>
          <w:tblCellMar>
            <w:top w:w="0" w:type="dxa"/>
            <w:left w:w="0" w:type="dxa"/>
            <w:bottom w:w="0" w:type="dxa"/>
            <w:right w:w="0" w:type="dxa"/>
          </w:tblCellMar>
        </w:tblPrEx>
        <w:trPr>
          <w:trHeight w:val="182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办理答复</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模拟用户进行2次简单常见问题咨询：</w:t>
            </w:r>
            <w:r>
              <w:rPr>
                <w:rFonts w:hint="eastAsia" w:ascii="仿宋" w:hAnsi="仿宋" w:eastAsia="仿宋" w:cs="宋体"/>
                <w:kern w:val="0"/>
                <w:sz w:val="20"/>
              </w:rPr>
              <w:br w:type="textWrapping"/>
            </w:r>
            <w:r>
              <w:rPr>
                <w:rFonts w:hint="eastAsia" w:ascii="仿宋" w:hAnsi="仿宋" w:eastAsia="仿宋" w:cs="宋体"/>
                <w:kern w:val="0"/>
                <w:sz w:val="20"/>
              </w:rPr>
              <w:t>1.未在5个工作日内收到网上答复意见的，每发现一次，扣4分；</w:t>
            </w:r>
            <w:r>
              <w:rPr>
                <w:rFonts w:hint="eastAsia" w:ascii="仿宋" w:hAnsi="仿宋" w:eastAsia="仿宋" w:cs="宋体"/>
                <w:kern w:val="0"/>
                <w:sz w:val="20"/>
              </w:rPr>
              <w:br w:type="textWrapping"/>
            </w:r>
            <w:r>
              <w:rPr>
                <w:rFonts w:hint="eastAsia" w:ascii="仿宋" w:hAnsi="仿宋" w:eastAsia="仿宋" w:cs="宋体"/>
                <w:kern w:val="0"/>
                <w:sz w:val="20"/>
              </w:rPr>
              <w:t>2.答复内容质量不高，有推诿、敷衍等现象的，每发现一次，扣4分。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7</w:t>
            </w:r>
          </w:p>
        </w:tc>
      </w:tr>
      <w:tr>
        <w:tblPrEx>
          <w:tblCellMar>
            <w:top w:w="0" w:type="dxa"/>
            <w:left w:w="0" w:type="dxa"/>
            <w:bottom w:w="0" w:type="dxa"/>
            <w:right w:w="0" w:type="dxa"/>
          </w:tblCellMar>
        </w:tblPrEx>
        <w:trPr>
          <w:trHeight w:val="1257" w:hRule="atLeast"/>
          <w:jc w:val="center"/>
        </w:trPr>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功能设计</w:t>
            </w:r>
          </w:p>
          <w:p>
            <w:pPr>
              <w:widowControl/>
              <w:jc w:val="center"/>
              <w:rPr>
                <w:rFonts w:ascii="仿宋" w:hAnsi="仿宋" w:eastAsia="仿宋" w:cs="宋体"/>
                <w:kern w:val="0"/>
                <w:sz w:val="24"/>
                <w:szCs w:val="24"/>
              </w:rPr>
            </w:pPr>
            <w:r>
              <w:rPr>
                <w:rFonts w:hint="eastAsia" w:ascii="仿宋" w:hAnsi="仿宋" w:eastAsia="仿宋" w:cs="宋体"/>
                <w:kern w:val="0"/>
                <w:sz w:val="20"/>
              </w:rPr>
              <w:t>（21分）</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域名名称</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1.域名不符合规范的，扣1分。</w:t>
            </w:r>
            <w:r>
              <w:rPr>
                <w:rFonts w:hint="eastAsia" w:ascii="仿宋" w:hAnsi="仿宋" w:eastAsia="仿宋" w:cs="宋体"/>
                <w:kern w:val="0"/>
                <w:sz w:val="20"/>
              </w:rPr>
              <w:br w:type="textWrapping"/>
            </w:r>
            <w:r>
              <w:rPr>
                <w:rFonts w:hint="eastAsia" w:ascii="仿宋" w:hAnsi="仿宋" w:eastAsia="仿宋" w:cs="宋体"/>
                <w:kern w:val="0"/>
                <w:sz w:val="20"/>
              </w:rPr>
              <w:t>2.网站未以本地区本部门名称命名的，扣1分。</w:t>
            </w:r>
            <w:r>
              <w:rPr>
                <w:rFonts w:hint="eastAsia" w:ascii="仿宋" w:hAnsi="仿宋" w:eastAsia="仿宋" w:cs="宋体"/>
                <w:kern w:val="0"/>
                <w:sz w:val="20"/>
              </w:rPr>
              <w:br w:type="textWrapping"/>
            </w:r>
            <w:r>
              <w:rPr>
                <w:rFonts w:hint="eastAsia" w:ascii="仿宋" w:hAnsi="仿宋" w:eastAsia="仿宋" w:cs="宋体"/>
                <w:kern w:val="0"/>
                <w:sz w:val="20"/>
              </w:rPr>
              <w:t>3.网站名称未在全站页面头部区域显著展示的，扣1分。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3</w:t>
            </w:r>
          </w:p>
        </w:tc>
      </w:tr>
      <w:tr>
        <w:tblPrEx>
          <w:tblCellMar>
            <w:top w:w="0" w:type="dxa"/>
            <w:left w:w="0" w:type="dxa"/>
            <w:bottom w:w="0" w:type="dxa"/>
            <w:right w:w="0" w:type="dxa"/>
          </w:tblCellMar>
        </w:tblPrEx>
        <w:trPr>
          <w:trHeight w:val="138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网站标识</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未在全站页面底部功能区清晰列明党政机关网站标识、网站标识码、ICP备案编号、公安机关备案标识、网站主办单位、联系方式的，每缺一项，扣0.5分。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3</w:t>
            </w:r>
          </w:p>
        </w:tc>
      </w:tr>
      <w:tr>
        <w:tblPrEx>
          <w:tblCellMar>
            <w:top w:w="0" w:type="dxa"/>
            <w:left w:w="0" w:type="dxa"/>
            <w:bottom w:w="0" w:type="dxa"/>
            <w:right w:w="0" w:type="dxa"/>
          </w:tblCellMar>
        </w:tblPrEx>
        <w:trPr>
          <w:trHeight w:val="181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可用性</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1.首页上的链接（包括图片、附件、外部链接等）打不开或错误的，每发现一处，扣0.2分；如首页仅为网站栏目导航入口，则检查所有二级页面上的链接。</w:t>
            </w:r>
            <w:r>
              <w:rPr>
                <w:rFonts w:hint="eastAsia" w:ascii="仿宋" w:hAnsi="仿宋" w:eastAsia="仿宋" w:cs="宋体"/>
                <w:kern w:val="0"/>
                <w:sz w:val="20"/>
              </w:rPr>
              <w:br w:type="textWrapping"/>
            </w:r>
            <w:r>
              <w:rPr>
                <w:rFonts w:hint="eastAsia" w:ascii="仿宋" w:hAnsi="仿宋" w:eastAsia="仿宋" w:cs="宋体"/>
                <w:kern w:val="0"/>
                <w:sz w:val="20"/>
              </w:rPr>
              <w:t>2.其他页面上的链接（包括图片、附件、外部链接等）打不开或错误的，每发现一处，扣0.1分。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1</w:t>
            </w:r>
          </w:p>
        </w:tc>
      </w:tr>
      <w:tr>
        <w:tblPrEx>
          <w:tblCellMar>
            <w:top w:w="0" w:type="dxa"/>
            <w:left w:w="0" w:type="dxa"/>
            <w:bottom w:w="0" w:type="dxa"/>
            <w:right w:w="0" w:type="dxa"/>
          </w:tblCellMar>
        </w:tblPrEx>
        <w:trPr>
          <w:trHeight w:val="141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0"/>
              </w:rPr>
              <w:t>“我为政府网</w:t>
            </w:r>
          </w:p>
          <w:p>
            <w:pPr>
              <w:widowControl/>
              <w:jc w:val="center"/>
              <w:rPr>
                <w:rFonts w:ascii="仿宋" w:hAnsi="仿宋" w:eastAsia="仿宋" w:cs="宋体"/>
                <w:kern w:val="0"/>
                <w:sz w:val="24"/>
                <w:szCs w:val="24"/>
              </w:rPr>
            </w:pPr>
            <w:r>
              <w:rPr>
                <w:rFonts w:hint="eastAsia" w:ascii="仿宋" w:hAnsi="仿宋" w:eastAsia="仿宋" w:cs="宋体"/>
                <w:kern w:val="0"/>
                <w:sz w:val="20"/>
              </w:rPr>
              <w:t>站找错”</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1.未在首页底部功能区规范添加“我为政府网站找错”入口的，扣1分。</w:t>
            </w:r>
            <w:r>
              <w:rPr>
                <w:rFonts w:hint="eastAsia" w:ascii="仿宋" w:hAnsi="仿宋" w:eastAsia="仿宋" w:cs="宋体"/>
                <w:kern w:val="0"/>
                <w:sz w:val="20"/>
              </w:rPr>
              <w:br w:type="textWrapping"/>
            </w:r>
            <w:r>
              <w:rPr>
                <w:rFonts w:hint="eastAsia" w:ascii="仿宋" w:hAnsi="仿宋" w:eastAsia="仿宋" w:cs="宋体"/>
                <w:kern w:val="0"/>
                <w:sz w:val="20"/>
              </w:rPr>
              <w:t>2.未在其他页面底部功能区规范添加“我为政府网站找错”入口的，每发现一处，扣0.2分。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1</w:t>
            </w:r>
          </w:p>
        </w:tc>
      </w:tr>
      <w:tr>
        <w:tblPrEx>
          <w:tblCellMar>
            <w:top w:w="0" w:type="dxa"/>
            <w:left w:w="0" w:type="dxa"/>
            <w:bottom w:w="0" w:type="dxa"/>
            <w:right w:w="0" w:type="dxa"/>
          </w:tblCellMar>
        </w:tblPrEx>
        <w:trPr>
          <w:trHeight w:val="153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1.监测时间点前6个月内，存在网民留言超过3个工作日未答复的，每发现一条，扣1分。</w:t>
            </w:r>
            <w:r>
              <w:rPr>
                <w:rFonts w:hint="eastAsia" w:ascii="仿宋" w:hAnsi="仿宋" w:eastAsia="仿宋" w:cs="宋体"/>
                <w:kern w:val="0"/>
                <w:sz w:val="20"/>
              </w:rPr>
              <w:br w:type="textWrapping"/>
            </w:r>
            <w:r>
              <w:rPr>
                <w:rFonts w:hint="eastAsia" w:ascii="仿宋" w:hAnsi="仿宋" w:eastAsia="仿宋" w:cs="宋体"/>
                <w:kern w:val="0"/>
                <w:sz w:val="20"/>
              </w:rPr>
              <w:t>2.监测时间点前6个月内，存在答复内容质量不高，有推诿、敷衍等现象的，每发现一条，扣1分。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3</w:t>
            </w:r>
          </w:p>
        </w:tc>
      </w:tr>
      <w:tr>
        <w:tblPrEx>
          <w:tblCellMar>
            <w:top w:w="0" w:type="dxa"/>
            <w:left w:w="0" w:type="dxa"/>
            <w:bottom w:w="0" w:type="dxa"/>
            <w:right w:w="0" w:type="dxa"/>
          </w:tblCellMar>
        </w:tblPrEx>
        <w:trPr>
          <w:trHeight w:val="1810" w:hRule="atLeast"/>
          <w:jc w:val="center"/>
        </w:trPr>
        <w:tc>
          <w:tcPr>
            <w:tcW w:w="0" w:type="auto"/>
            <w:vMerge w:val="continue"/>
            <w:tcBorders>
              <w:top w:val="nil"/>
              <w:left w:val="single" w:color="auto" w:sz="8" w:space="0"/>
              <w:bottom w:val="single" w:color="auto" w:sz="4"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站内搜索</w:t>
            </w:r>
          </w:p>
        </w:tc>
        <w:tc>
          <w:tcPr>
            <w:tcW w:w="543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1.未提供全站站内搜索功能或功能不可用的，扣4分。</w:t>
            </w:r>
            <w:r>
              <w:rPr>
                <w:rFonts w:hint="eastAsia" w:ascii="仿宋" w:hAnsi="仿宋" w:eastAsia="仿宋" w:cs="宋体"/>
                <w:kern w:val="0"/>
                <w:sz w:val="20"/>
              </w:rPr>
              <w:br w:type="textWrapping"/>
            </w:r>
            <w:r>
              <w:rPr>
                <w:rFonts w:hint="eastAsia" w:ascii="仿宋" w:hAnsi="仿宋" w:eastAsia="仿宋" w:cs="宋体"/>
                <w:kern w:val="0"/>
                <w:sz w:val="20"/>
              </w:rPr>
              <w:t>2.随机选取4条网站已发布的信息或服务的标题进行测试，在搜索结果第一页无法找到该内容的，每条扣1分。</w:t>
            </w:r>
            <w:r>
              <w:rPr>
                <w:rFonts w:hint="eastAsia" w:ascii="仿宋" w:hAnsi="仿宋" w:eastAsia="仿宋" w:cs="宋体"/>
                <w:kern w:val="0"/>
                <w:sz w:val="20"/>
              </w:rPr>
              <w:br w:type="textWrapping"/>
            </w:r>
            <w:r>
              <w:rPr>
                <w:rFonts w:hint="eastAsia" w:ascii="仿宋" w:hAnsi="仿宋" w:eastAsia="仿宋" w:cs="宋体"/>
                <w:kern w:val="0"/>
                <w:sz w:val="20"/>
              </w:rPr>
              <w:t>3.未对搜索结果进行分类展现的（如按照政策文件、办事指南等进行分类），扣1分。</w:t>
            </w:r>
          </w:p>
        </w:tc>
        <w:tc>
          <w:tcPr>
            <w:tcW w:w="72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4</w:t>
            </w:r>
          </w:p>
        </w:tc>
      </w:tr>
      <w:tr>
        <w:tblPrEx>
          <w:tblCellMar>
            <w:top w:w="0" w:type="dxa"/>
            <w:left w:w="0" w:type="dxa"/>
            <w:bottom w:w="0" w:type="dxa"/>
            <w:right w:w="0" w:type="dxa"/>
          </w:tblCellMar>
        </w:tblPrEx>
        <w:trPr>
          <w:trHeight w:val="98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一号登录</w:t>
            </w:r>
          </w:p>
        </w:tc>
        <w:tc>
          <w:tcPr>
            <w:tcW w:w="5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注册用户在各个功能板块（网上信访、纪检举报等专门渠道除外）无法一号登录的，扣2分。</w:t>
            </w:r>
          </w:p>
        </w:tc>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2</w:t>
            </w:r>
          </w:p>
        </w:tc>
      </w:tr>
      <w:tr>
        <w:tblPrEx>
          <w:tblCellMar>
            <w:top w:w="0" w:type="dxa"/>
            <w:left w:w="0" w:type="dxa"/>
            <w:bottom w:w="0" w:type="dxa"/>
            <w:right w:w="0" w:type="dxa"/>
          </w:tblCellMar>
        </w:tblPrEx>
        <w:trPr>
          <w:trHeight w:val="1551" w:hRule="atLeast"/>
          <w:jc w:val="center"/>
        </w:trPr>
        <w:tc>
          <w:tcPr>
            <w:tcW w:w="0" w:type="auto"/>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页面标签</w:t>
            </w:r>
          </w:p>
        </w:tc>
        <w:tc>
          <w:tcPr>
            <w:tcW w:w="543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1.随机抽查5个内容页面，无站点标签或内容标签的，每个扣0.1分。</w:t>
            </w:r>
            <w:r>
              <w:rPr>
                <w:rFonts w:hint="eastAsia" w:ascii="仿宋" w:hAnsi="仿宋" w:eastAsia="仿宋" w:cs="宋体"/>
                <w:kern w:val="0"/>
                <w:sz w:val="20"/>
              </w:rPr>
              <w:br w:type="textWrapping"/>
            </w:r>
            <w:r>
              <w:rPr>
                <w:rFonts w:hint="eastAsia" w:ascii="仿宋" w:hAnsi="仿宋" w:eastAsia="仿宋" w:cs="宋体"/>
                <w:kern w:val="0"/>
                <w:sz w:val="20"/>
              </w:rPr>
              <w:t>2.随机抽查5个栏目页面，无站点标签或栏目标签的，每个扣0.1分。</w:t>
            </w:r>
          </w:p>
        </w:tc>
        <w:tc>
          <w:tcPr>
            <w:tcW w:w="72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1</w:t>
            </w:r>
          </w:p>
        </w:tc>
      </w:tr>
      <w:tr>
        <w:tblPrEx>
          <w:tblCellMar>
            <w:top w:w="0" w:type="dxa"/>
            <w:left w:w="0" w:type="dxa"/>
            <w:bottom w:w="0" w:type="dxa"/>
            <w:right w:w="0" w:type="dxa"/>
          </w:tblCellMar>
        </w:tblPrEx>
        <w:trPr>
          <w:trHeight w:val="84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兼容性</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使用主流浏览器访问网站，不能正常显示页面内容的，每类扣1分。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2</w:t>
            </w:r>
          </w:p>
        </w:tc>
      </w:tr>
      <w:tr>
        <w:tblPrEx>
          <w:tblCellMar>
            <w:top w:w="0" w:type="dxa"/>
            <w:left w:w="0" w:type="dxa"/>
            <w:bottom w:w="0" w:type="dxa"/>
            <w:right w:w="0" w:type="dxa"/>
          </w:tblCellMar>
        </w:tblPrEx>
        <w:trPr>
          <w:trHeight w:val="53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IPv6改造</w:t>
            </w:r>
          </w:p>
        </w:tc>
        <w:tc>
          <w:tcPr>
            <w:tcW w:w="54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仿宋" w:hAnsi="仿宋" w:eastAsia="仿宋" w:cs="宋体"/>
                <w:kern w:val="0"/>
                <w:sz w:val="20"/>
              </w:rPr>
            </w:pPr>
            <w:r>
              <w:rPr>
                <w:rFonts w:hint="eastAsia" w:ascii="仿宋" w:hAnsi="仿宋" w:eastAsia="仿宋" w:cs="宋体"/>
                <w:kern w:val="0"/>
                <w:sz w:val="20"/>
              </w:rPr>
              <w:t>未按照要求完成IPv6改造的，扣1分。</w:t>
            </w:r>
          </w:p>
        </w:tc>
        <w:tc>
          <w:tcPr>
            <w:tcW w:w="7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0"/>
              </w:rPr>
              <w:t>1</w:t>
            </w:r>
          </w:p>
        </w:tc>
      </w:tr>
    </w:tbl>
    <w:p>
      <w:pPr>
        <w:spacing w:line="600" w:lineRule="exact"/>
        <w:ind w:firstLine="560" w:firstLineChars="200"/>
        <w:jc w:val="left"/>
        <w:rPr>
          <w:rFonts w:hint="eastAsia" w:ascii="仿宋" w:hAnsi="仿宋" w:eastAsia="仿宋"/>
          <w:bCs/>
          <w:sz w:val="28"/>
          <w:szCs w:val="28"/>
        </w:rPr>
      </w:pP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（2）检测范围及频率</w:t>
      </w:r>
    </w:p>
    <w:tbl>
      <w:tblPr>
        <w:tblStyle w:val="2"/>
        <w:tblW w:w="935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77"/>
        <w:gridCol w:w="3827"/>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shd w:val="clear" w:color="auto" w:fill="F2F2F2"/>
          </w:tcPr>
          <w:p>
            <w:pPr>
              <w:rPr>
                <w:rFonts w:ascii="仿宋" w:hAnsi="仿宋" w:eastAsia="仿宋"/>
                <w:sz w:val="24"/>
                <w:szCs w:val="24"/>
              </w:rPr>
            </w:pPr>
            <w:r>
              <w:rPr>
                <w:rFonts w:hint="eastAsia" w:ascii="仿宋" w:hAnsi="仿宋" w:eastAsia="仿宋"/>
                <w:sz w:val="24"/>
                <w:szCs w:val="24"/>
              </w:rPr>
              <w:t>网站名称</w:t>
            </w:r>
          </w:p>
        </w:tc>
        <w:tc>
          <w:tcPr>
            <w:tcW w:w="3827" w:type="dxa"/>
            <w:shd w:val="clear" w:color="auto" w:fill="F2F2F2"/>
          </w:tcPr>
          <w:p>
            <w:pPr>
              <w:rPr>
                <w:rFonts w:ascii="仿宋" w:hAnsi="仿宋" w:eastAsia="仿宋"/>
                <w:sz w:val="24"/>
                <w:szCs w:val="24"/>
              </w:rPr>
            </w:pPr>
            <w:r>
              <w:rPr>
                <w:rFonts w:hint="eastAsia" w:ascii="仿宋" w:hAnsi="仿宋" w:eastAsia="仿宋"/>
                <w:sz w:val="24"/>
                <w:szCs w:val="24"/>
              </w:rPr>
              <w:t>链接地址</w:t>
            </w:r>
          </w:p>
        </w:tc>
        <w:tc>
          <w:tcPr>
            <w:tcW w:w="1276" w:type="dxa"/>
            <w:tcBorders>
              <w:right w:val="single" w:color="auto" w:sz="4" w:space="0"/>
            </w:tcBorders>
            <w:shd w:val="clear" w:color="auto" w:fill="F2F2F2"/>
          </w:tcPr>
          <w:p>
            <w:pPr>
              <w:rPr>
                <w:rFonts w:ascii="仿宋" w:hAnsi="仿宋" w:eastAsia="仿宋"/>
                <w:sz w:val="24"/>
                <w:szCs w:val="24"/>
              </w:rPr>
            </w:pPr>
            <w:r>
              <w:rPr>
                <w:rFonts w:hint="eastAsia" w:ascii="仿宋" w:hAnsi="仿宋" w:eastAsia="仿宋"/>
                <w:sz w:val="24"/>
                <w:szCs w:val="24"/>
              </w:rPr>
              <w:t>监测频率</w:t>
            </w:r>
          </w:p>
        </w:tc>
        <w:tc>
          <w:tcPr>
            <w:tcW w:w="1276" w:type="dxa"/>
            <w:tcBorders>
              <w:left w:val="single" w:color="auto" w:sz="4" w:space="0"/>
            </w:tcBorders>
            <w:shd w:val="clear" w:color="auto" w:fill="F2F2F2"/>
          </w:tcPr>
          <w:p>
            <w:pPr>
              <w:rPr>
                <w:rFonts w:ascii="仿宋" w:hAnsi="仿宋" w:eastAsia="仿宋"/>
                <w:sz w:val="24"/>
                <w:szCs w:val="24"/>
              </w:rPr>
            </w:pPr>
            <w:r>
              <w:rPr>
                <w:rFonts w:hint="eastAsia" w:ascii="仿宋" w:hAnsi="仿宋" w:eastAsia="仿宋"/>
                <w:sz w:val="24"/>
                <w:szCs w:val="24"/>
              </w:rPr>
              <w:t>报送方式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7" w:type="dxa"/>
          </w:tcPr>
          <w:p>
            <w:pPr>
              <w:rPr>
                <w:rFonts w:hint="eastAsia" w:ascii="仿宋" w:hAnsi="仿宋" w:eastAsia="仿宋"/>
                <w:sz w:val="24"/>
                <w:szCs w:val="24"/>
              </w:rPr>
            </w:pPr>
            <w:r>
              <w:rPr>
                <w:rFonts w:hint="eastAsia" w:ascii="仿宋" w:hAnsi="仿宋" w:eastAsia="仿宋"/>
                <w:sz w:val="24"/>
                <w:szCs w:val="24"/>
              </w:rPr>
              <w:t>苏州市园林和绿化管理局</w:t>
            </w:r>
          </w:p>
        </w:tc>
        <w:tc>
          <w:tcPr>
            <w:tcW w:w="3827" w:type="dxa"/>
          </w:tcPr>
          <w:p>
            <w:pPr>
              <w:rPr>
                <w:rFonts w:hint="eastAsia" w:ascii="仿宋" w:hAnsi="仿宋" w:eastAsia="仿宋"/>
                <w:sz w:val="24"/>
                <w:szCs w:val="24"/>
              </w:rPr>
            </w:pPr>
            <w:r>
              <w:rPr>
                <w:rFonts w:ascii="仿宋" w:hAnsi="仿宋" w:eastAsia="仿宋"/>
                <w:sz w:val="24"/>
                <w:szCs w:val="24"/>
              </w:rPr>
              <w:t>http://www.ylj.suzhou.gov.cn/</w:t>
            </w:r>
          </w:p>
        </w:tc>
        <w:tc>
          <w:tcPr>
            <w:tcW w:w="1276"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每月检测</w:t>
            </w:r>
          </w:p>
        </w:tc>
        <w:tc>
          <w:tcPr>
            <w:tcW w:w="1276" w:type="dxa"/>
            <w:tcBorders>
              <w:left w:val="single" w:color="auto" w:sz="4" w:space="0"/>
            </w:tcBorders>
          </w:tcPr>
          <w:p>
            <w:pPr>
              <w:rPr>
                <w:rFonts w:ascii="仿宋" w:hAnsi="仿宋" w:eastAsia="仿宋"/>
                <w:sz w:val="24"/>
                <w:szCs w:val="24"/>
              </w:rPr>
            </w:pPr>
            <w:r>
              <w:rPr>
                <w:rFonts w:hint="eastAsia" w:ascii="仿宋" w:hAnsi="仿宋" w:eastAsia="仿宋"/>
                <w:sz w:val="24"/>
                <w:szCs w:val="24"/>
              </w:rPr>
              <w:t>邮件</w:t>
            </w:r>
          </w:p>
        </w:tc>
      </w:tr>
    </w:tbl>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4、网站发展指引检测服务</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每月根据《国务院办公厅关于印发政府网站发展指引的通知》(国办发〔2017〕47号)相关指标要求对甲方网站进行检测，发现不符合指标要求的问题形成报告，并且协助甲方网站负责人进行定位给予整改建议。</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5、网站涉密涉敏信息检测服务</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每月对甲方网站文字内容进行检测并且形成检测严重问题检测报告，具体检测涉及以下相关信息：</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涉及发布带有密级或还在保密期限内的政府文件</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涉及泄露军警机密类信息</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涉及发布暂不宜公开的内部文件</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涉及发布不宜对外公开的各类处置方案、预案</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涉及易引起网络舆情事件类信息</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涉及政府内部及日常性函件类信息</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涉及侵犯公民个人隐私类信息</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涉及公开政府合同类信息</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涉及公开政府领导隐私类信息</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涉及宣传贪腐领导活动信息</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涉及历史重大事件</w:t>
      </w:r>
    </w:p>
    <w:p>
      <w:pPr>
        <w:spacing w:line="600" w:lineRule="exact"/>
        <w:ind w:firstLine="560" w:firstLineChars="200"/>
        <w:jc w:val="left"/>
        <w:rPr>
          <w:rFonts w:hint="eastAsia" w:ascii="仿宋" w:hAnsi="仿宋" w:eastAsia="仿宋"/>
          <w:bCs/>
          <w:sz w:val="28"/>
          <w:szCs w:val="28"/>
        </w:rPr>
      </w:pPr>
      <w:r>
        <w:rPr>
          <w:rFonts w:hint="eastAsia" w:ascii="仿宋" w:hAnsi="仿宋" w:eastAsia="仿宋"/>
          <w:bCs/>
          <w:sz w:val="28"/>
          <w:szCs w:val="28"/>
        </w:rPr>
        <w:t>涉及不文明用语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80273"/>
    <w:multiLevelType w:val="multilevel"/>
    <w:tmpl w:val="4D980273"/>
    <w:lvl w:ilvl="0" w:tentative="0">
      <w:start w:val="1"/>
      <w:numFmt w:val="upperLetter"/>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F7E31"/>
    <w:rsid w:val="20EF7E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2020-01-23T02:26:00Z</dcterms:created>
  <dc:creator>I</dc:creator>
  <cp:lastModifiedBy>I</cp:lastModifiedBy>
  <dcterms:modified xsi:type="dcterms:W3CDTF">2020-01-23T02:29:25Z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