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jc w:val="center"/>
        <w:rPr>
          <w:rFonts w:hint="eastAsia" w:ascii="宋体" w:hAnsi="宋体" w:eastAsia="宋体" w:cs="宋体"/>
          <w:i w:val="0"/>
          <w:caps w:val="0"/>
          <w:color w:val="auto"/>
          <w:spacing w:val="0"/>
          <w:sz w:val="32"/>
          <w:szCs w:val="32"/>
        </w:rPr>
      </w:pPr>
      <w:r>
        <w:rPr>
          <w:rFonts w:ascii="微软雅黑" w:hAnsi="微软雅黑" w:eastAsia="微软雅黑" w:cs="微软雅黑"/>
          <w:i w:val="0"/>
          <w:caps w:val="0"/>
          <w:color w:val="auto"/>
          <w:spacing w:val="0"/>
          <w:sz w:val="32"/>
          <w:szCs w:val="32"/>
        </w:rPr>
        <w:t>局政府门户网站内容日常检测服务邀标函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苏州市园林和绿化管理局拟邀请具有相关条件并有意向的单位参加局政府门户网站内容日常检测服务项目采购询价。欢迎合格的供应商前来参加磋商。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一、采购简介：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1、采购内容：局政府门户网站日常检测服务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2、服务期限：合同签订后一年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3、服务地点：苏州市园林和绿化管理局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center" w:pos="4153"/>
        </w:tabs>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rPr>
        <w:t>三、采购预算：6万元</w:t>
      </w:r>
      <w:r>
        <w:rPr>
          <w:rFonts w:hint="eastAsia" w:ascii="宋体" w:hAnsi="宋体" w:eastAsia="宋体" w:cs="宋体"/>
          <w:i w:val="0"/>
          <w:caps w:val="0"/>
          <w:color w:val="333333"/>
          <w:spacing w:val="0"/>
          <w:sz w:val="24"/>
          <w:szCs w:val="24"/>
          <w:lang w:eastAsia="zh-CN"/>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四、采购需求：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1、具有独立承担民事责任的能力。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2、具有良好的商业信誉和健全的财务会计制度。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3、具有履行合同所必须的设备和专业技术能力。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4、有依法缴纳税收和社会保障资金的良好记录。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5、参加政府采购活动前三年内，在经营活动中没有重大违法记录。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6、本项目不允许联合体参加报价。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五、询价通知书获取信息：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1、询价通知苏州市园林和绿化管理局拟邀请具有相关条件并有意向的单位参加局政府门户网站内容日常检测服务项目采购询价。欢迎合格的供应商前来参加磋商。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一、采购简介：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1、采购内容：局政府门户网站日常检测服务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2、服务期限：合同签订后一年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3、服务地点：苏州市园林和绿化管理局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三、采购预算：6万元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四、采购需求：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1、具有独立承担民事责任的能力。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2、具有良好的商业信誉和健全的财务会计制度。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3、具有履行合同所必须的设备和专业技术能力。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4、有依法缴纳税收和社会保障资金的良好记录。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5、参加政府采购活动前三年内，在经营活动中没有重大违法记录。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6、本项目不允许联合体参加报价。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五、询价通知书获取信息：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1、询价通知书获取方式：苏州市园林和绿化管理局政府门户网站政府采购栏目及快递寄送。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2、如我局对已发出的询价通知书进行必要的澄清或者修改的，以在本公告网站上发布更正公告的方式通知，供应商应在报价文件提交截止时间前递交投标文件。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六、报价文件提交信息：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报价文件递交时间：自本公告发布之日起至报价文件提交截止时间止。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报价文件递交地址：苏州市公园路255号苏州市园林和绿化管理局办公室</w:t>
      </w:r>
      <w:r>
        <w:rPr>
          <w:rFonts w:hint="eastAsia" w:ascii="宋体" w:hAnsi="宋体" w:eastAsia="宋体" w:cs="宋体"/>
          <w:i w:val="0"/>
          <w:caps w:val="0"/>
          <w:color w:val="333333"/>
          <w:spacing w:val="0"/>
          <w:sz w:val="24"/>
          <w:szCs w:val="24"/>
          <w:lang w:val="en-US" w:eastAsia="zh-CN"/>
        </w:rPr>
        <w:t xml:space="preserve">  蒋熠收</w:t>
      </w:r>
      <w:bookmarkStart w:id="1" w:name="_GoBack"/>
      <w:bookmarkEnd w:id="1"/>
      <w:r>
        <w:rPr>
          <w:rFonts w:hint="eastAsia" w:ascii="宋体" w:hAnsi="宋体" w:eastAsia="宋体" w:cs="宋体"/>
          <w:i w:val="0"/>
          <w:caps w:val="0"/>
          <w:color w:val="333333"/>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报价文件提交截止时间：20</w:t>
      </w:r>
      <w:r>
        <w:rPr>
          <w:rFonts w:hint="eastAsia" w:ascii="宋体" w:hAnsi="宋体" w:eastAsia="宋体" w:cs="宋体"/>
          <w:i w:val="0"/>
          <w:caps w:val="0"/>
          <w:color w:val="333333"/>
          <w:spacing w:val="0"/>
          <w:sz w:val="24"/>
          <w:szCs w:val="24"/>
          <w:lang w:val="en-US" w:eastAsia="zh-CN"/>
        </w:rPr>
        <w:t>21</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月</w:t>
      </w:r>
      <w:r>
        <w:rPr>
          <w:rFonts w:hint="eastAsia" w:ascii="宋体" w:hAnsi="宋体" w:eastAsia="宋体" w:cs="宋体"/>
          <w:i w:val="0"/>
          <w:caps w:val="0"/>
          <w:color w:val="333333"/>
          <w:spacing w:val="0"/>
          <w:sz w:val="24"/>
          <w:szCs w:val="24"/>
          <w:lang w:val="en-US" w:eastAsia="zh-CN"/>
        </w:rPr>
        <w:t>25</w:t>
      </w:r>
      <w:r>
        <w:rPr>
          <w:rFonts w:hint="eastAsia" w:ascii="宋体" w:hAnsi="宋体" w:eastAsia="宋体" w:cs="宋体"/>
          <w:i w:val="0"/>
          <w:caps w:val="0"/>
          <w:color w:val="333333"/>
          <w:spacing w:val="0"/>
          <w:sz w:val="24"/>
          <w:szCs w:val="24"/>
        </w:rPr>
        <w:t>日9：00（北京时间）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七、报价须知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 投标价超过6万元，作为废标处理。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 投标不足三家，作为废标处理。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联系人：蒋熠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联系电话：65111900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                     苏州市园林和绿化管理局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                          20</w:t>
      </w:r>
      <w:r>
        <w:rPr>
          <w:rFonts w:hint="eastAsia" w:ascii="宋体" w:hAnsi="宋体" w:eastAsia="宋体" w:cs="宋体"/>
          <w:i w:val="0"/>
          <w:caps w:val="0"/>
          <w:color w:val="333333"/>
          <w:spacing w:val="0"/>
          <w:sz w:val="24"/>
          <w:szCs w:val="24"/>
          <w:lang w:val="en-US" w:eastAsia="zh-CN"/>
        </w:rPr>
        <w:t>21</w:t>
      </w:r>
      <w:r>
        <w:rPr>
          <w:rFonts w:hint="eastAsia" w:ascii="宋体" w:hAnsi="宋体" w:eastAsia="宋体" w:cs="宋体"/>
          <w:i w:val="0"/>
          <w:caps w:val="0"/>
          <w:color w:val="333333"/>
          <w:spacing w:val="0"/>
          <w:sz w:val="24"/>
          <w:szCs w:val="24"/>
        </w:rPr>
        <w:t>年</w:t>
      </w:r>
      <w:r>
        <w:rPr>
          <w:rFonts w:hint="eastAsia" w:ascii="宋体" w:hAnsi="宋体" w:eastAsia="宋体" w:cs="宋体"/>
          <w:i w:val="0"/>
          <w:caps w:val="0"/>
          <w:color w:val="333333"/>
          <w:spacing w:val="0"/>
          <w:sz w:val="24"/>
          <w:szCs w:val="24"/>
          <w:lang w:val="en-US" w:eastAsia="zh-CN"/>
        </w:rPr>
        <w:t>3</w:t>
      </w:r>
      <w:r>
        <w:rPr>
          <w:rFonts w:hint="eastAsia" w:ascii="宋体" w:hAnsi="宋体" w:eastAsia="宋体" w:cs="宋体"/>
          <w:i w:val="0"/>
          <w:caps w:val="0"/>
          <w:color w:val="333333"/>
          <w:spacing w:val="0"/>
          <w:sz w:val="24"/>
          <w:szCs w:val="24"/>
        </w:rPr>
        <w:t>月1</w:t>
      </w: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eastAsia" w:ascii="宋体" w:hAnsi="宋体" w:eastAsia="宋体" w:cs="宋体"/>
          <w:i w:val="0"/>
          <w:caps w:val="0"/>
          <w:color w:val="333333"/>
          <w:spacing w:val="0"/>
          <w:sz w:val="24"/>
          <w:szCs w:val="24"/>
        </w:rPr>
      </w:pPr>
    </w:p>
    <w:p>
      <w:pPr>
        <w:numPr>
          <w:ilvl w:val="0"/>
          <w:numId w:val="0"/>
        </w:numPr>
        <w:spacing w:line="600" w:lineRule="exact"/>
        <w:ind w:leftChars="0"/>
        <w:jc w:val="left"/>
        <w:rPr>
          <w:rFonts w:hint="eastAsia" w:ascii="Arial" w:hAnsi="Arial"/>
          <w:sz w:val="28"/>
        </w:rPr>
      </w:pPr>
      <w:r>
        <w:rPr>
          <w:rFonts w:hint="eastAsia" w:ascii="Arial" w:hAnsi="Arial"/>
          <w:sz w:val="28"/>
          <w:lang w:val="en-US" w:eastAsia="zh-CN"/>
        </w:rPr>
        <w:t>附：</w:t>
      </w:r>
      <w:r>
        <w:rPr>
          <w:rFonts w:hint="eastAsia" w:ascii="Arial" w:hAnsi="Arial"/>
          <w:sz w:val="28"/>
        </w:rPr>
        <w:t>服务内容、形式和要求</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1、网站每天错别字检测服务</w:t>
      </w:r>
    </w:p>
    <w:p>
      <w:pPr>
        <w:spacing w:line="600" w:lineRule="exact"/>
        <w:ind w:firstLine="560" w:firstLineChars="200"/>
        <w:jc w:val="left"/>
        <w:rPr>
          <w:rFonts w:hint="eastAsia" w:ascii="Arial"/>
          <w:sz w:val="28"/>
        </w:rPr>
      </w:pPr>
      <w:r>
        <w:rPr>
          <w:rFonts w:hint="eastAsia" w:ascii="Arial"/>
          <w:sz w:val="28"/>
          <w:lang w:val="en-US" w:eastAsia="zh-CN"/>
        </w:rPr>
        <w:t>使</w:t>
      </w:r>
      <w:r>
        <w:rPr>
          <w:rFonts w:hint="eastAsia" w:ascii="Arial"/>
          <w:sz w:val="28"/>
        </w:rPr>
        <w:t>用自建机房的服务器群对网站提供错别字检测服务，如发现在新增信息中存在错别字，则将错别字情况通过短信或邮件发送给</w:t>
      </w:r>
      <w:r>
        <w:rPr>
          <w:rFonts w:hint="eastAsia" w:ascii="Arial"/>
          <w:sz w:val="28"/>
          <w:lang w:val="en-US" w:eastAsia="zh-CN"/>
        </w:rPr>
        <w:t>我局</w:t>
      </w:r>
      <w:r>
        <w:rPr>
          <w:rFonts w:hint="eastAsia" w:ascii="Arial"/>
          <w:sz w:val="28"/>
        </w:rPr>
        <w:t>，并协助</w:t>
      </w:r>
      <w:r>
        <w:rPr>
          <w:rFonts w:hint="eastAsia" w:ascii="Arial"/>
          <w:sz w:val="28"/>
          <w:lang w:val="en-US" w:eastAsia="zh-CN"/>
        </w:rPr>
        <w:t>我局</w:t>
      </w:r>
      <w:r>
        <w:rPr>
          <w:rFonts w:hint="eastAsia" w:ascii="Arial"/>
          <w:sz w:val="28"/>
        </w:rPr>
        <w:t>对错别字进行修改。</w:t>
      </w:r>
    </w:p>
    <w:p>
      <w:pPr>
        <w:ind w:firstLine="560" w:firstLineChars="200"/>
        <w:jc w:val="left"/>
        <w:rPr>
          <w:rFonts w:ascii="宋体" w:hAnsi="宋体" w:cs="Arial"/>
          <w:color w:val="000000"/>
          <w:sz w:val="28"/>
          <w:szCs w:val="28"/>
        </w:rPr>
      </w:pPr>
      <w:r>
        <w:rPr>
          <w:rFonts w:hint="eastAsia" w:ascii="宋体" w:hAnsi="宋体" w:cs="Arial"/>
          <w:color w:val="000000"/>
          <w:sz w:val="28"/>
          <w:szCs w:val="28"/>
        </w:rPr>
        <w:t>主要服务特点有：</w:t>
      </w:r>
    </w:p>
    <w:p>
      <w:pPr>
        <w:spacing w:line="360" w:lineRule="auto"/>
        <w:jc w:val="left"/>
        <w:rPr>
          <w:rFonts w:ascii="宋体" w:hAnsi="宋体" w:cs="Arial"/>
          <w:color w:val="000000"/>
          <w:sz w:val="28"/>
          <w:szCs w:val="28"/>
        </w:rPr>
      </w:pPr>
      <w:r>
        <w:rPr>
          <w:rFonts w:hint="eastAsia" w:ascii="宋体" w:hAnsi="宋体" w:cs="Arial"/>
          <w:color w:val="000000"/>
          <w:sz w:val="28"/>
          <w:szCs w:val="28"/>
        </w:rPr>
        <w:t>（1）系统集成海量词库，查找错别字高效准确。</w:t>
      </w:r>
    </w:p>
    <w:p>
      <w:pPr>
        <w:spacing w:line="360" w:lineRule="auto"/>
        <w:jc w:val="left"/>
        <w:rPr>
          <w:rFonts w:ascii="宋体" w:hAnsi="宋体" w:cs="Arial"/>
          <w:color w:val="000000"/>
          <w:sz w:val="28"/>
          <w:szCs w:val="28"/>
        </w:rPr>
      </w:pPr>
      <w:r>
        <w:rPr>
          <w:rFonts w:hint="eastAsia" w:ascii="宋体" w:hAnsi="宋体" w:cs="Arial"/>
          <w:color w:val="000000"/>
          <w:sz w:val="28"/>
          <w:szCs w:val="28"/>
        </w:rPr>
        <w:t>（2）系统高频率对网站进行监测，错别字发现及时。</w:t>
      </w:r>
    </w:p>
    <w:p>
      <w:pPr>
        <w:spacing w:line="360" w:lineRule="auto"/>
        <w:jc w:val="left"/>
        <w:rPr>
          <w:rFonts w:ascii="宋体" w:hAnsi="宋体" w:cs="Arial"/>
          <w:color w:val="000000"/>
          <w:sz w:val="28"/>
          <w:szCs w:val="28"/>
        </w:rPr>
      </w:pPr>
      <w:r>
        <w:rPr>
          <w:rFonts w:hint="eastAsia" w:ascii="宋体" w:hAnsi="宋体" w:cs="Arial"/>
          <w:color w:val="000000"/>
          <w:sz w:val="28"/>
          <w:szCs w:val="28"/>
        </w:rPr>
        <w:t>（3）系统定位准确，对发现的错别字进行高亮显示。</w:t>
      </w:r>
    </w:p>
    <w:p>
      <w:pPr>
        <w:spacing w:line="360" w:lineRule="auto"/>
        <w:jc w:val="left"/>
        <w:rPr>
          <w:rFonts w:ascii="宋体" w:hAnsi="宋体" w:cs="Arial"/>
          <w:color w:val="000000"/>
          <w:sz w:val="28"/>
          <w:szCs w:val="28"/>
        </w:rPr>
      </w:pPr>
      <w:r>
        <w:rPr>
          <w:rFonts w:hint="eastAsia" w:ascii="宋体" w:hAnsi="宋体" w:cs="Arial"/>
          <w:color w:val="000000"/>
          <w:sz w:val="28"/>
          <w:szCs w:val="28"/>
        </w:rPr>
        <w:t>（4）专业编辑逐条审核，错别字报送准确率100%。</w:t>
      </w:r>
    </w:p>
    <w:p>
      <w:pPr>
        <w:spacing w:line="360" w:lineRule="auto"/>
        <w:jc w:val="left"/>
        <w:rPr>
          <w:rFonts w:hint="eastAsia" w:ascii="宋体" w:hAnsi="宋体" w:cs="Arial"/>
          <w:color w:val="000000"/>
          <w:sz w:val="28"/>
          <w:szCs w:val="28"/>
        </w:rPr>
      </w:pPr>
      <w:r>
        <w:rPr>
          <w:rFonts w:hint="eastAsia" w:ascii="宋体" w:hAnsi="宋体" w:cs="Arial"/>
          <w:color w:val="000000"/>
          <w:sz w:val="28"/>
          <w:szCs w:val="28"/>
        </w:rPr>
        <w:t>（5）告警方式多样，支持邮件、电话、短信多种方式。</w:t>
      </w:r>
    </w:p>
    <w:p>
      <w:pPr>
        <w:ind w:firstLine="560" w:firstLineChars="200"/>
        <w:jc w:val="left"/>
        <w:rPr>
          <w:rFonts w:ascii="宋体" w:hAnsi="宋体" w:cs="Arial"/>
          <w:color w:val="000000"/>
          <w:sz w:val="28"/>
          <w:szCs w:val="28"/>
        </w:rPr>
      </w:pPr>
      <w:r>
        <w:rPr>
          <w:rFonts w:hint="eastAsia" w:ascii="宋体" w:hAnsi="宋体" w:cs="Arial"/>
          <w:color w:val="000000"/>
          <w:sz w:val="28"/>
          <w:szCs w:val="28"/>
        </w:rPr>
        <w:t>具体服务内容：</w:t>
      </w:r>
    </w:p>
    <w:p>
      <w:pPr>
        <w:numPr>
          <w:ilvl w:val="0"/>
          <w:numId w:val="1"/>
        </w:numPr>
        <w:jc w:val="left"/>
        <w:rPr>
          <w:rFonts w:ascii="宋体" w:hAnsi="宋体" w:cs="Arial"/>
          <w:color w:val="000000"/>
          <w:sz w:val="28"/>
          <w:szCs w:val="28"/>
        </w:rPr>
      </w:pPr>
      <w:r>
        <w:rPr>
          <w:rFonts w:hint="eastAsia" w:ascii="宋体" w:hAnsi="宋体" w:cs="Arial"/>
          <w:color w:val="000000"/>
          <w:sz w:val="28"/>
          <w:szCs w:val="28"/>
        </w:rPr>
        <w:t>每天对</w:t>
      </w:r>
      <w:r>
        <w:rPr>
          <w:rFonts w:hint="eastAsia" w:ascii="宋体" w:hAnsi="宋体" w:cs="Arial"/>
          <w:color w:val="000000"/>
          <w:sz w:val="28"/>
          <w:szCs w:val="28"/>
          <w:lang w:eastAsia="zh-CN"/>
        </w:rPr>
        <w:t>我局</w:t>
      </w:r>
      <w:r>
        <w:rPr>
          <w:rFonts w:hint="eastAsia" w:ascii="宋体" w:hAnsi="宋体" w:cs="Arial"/>
          <w:color w:val="000000"/>
          <w:sz w:val="28"/>
          <w:szCs w:val="28"/>
        </w:rPr>
        <w:t>网站的新增信息做检测，如当天发布的信息中存在错别字，则通过邮件进行告警及提示。</w:t>
      </w:r>
    </w:p>
    <w:p>
      <w:pPr>
        <w:numPr>
          <w:ilvl w:val="0"/>
          <w:numId w:val="1"/>
        </w:numPr>
        <w:jc w:val="left"/>
        <w:rPr>
          <w:rFonts w:ascii="宋体" w:hAnsi="宋体" w:cs="Arial"/>
          <w:color w:val="000000"/>
          <w:sz w:val="28"/>
          <w:szCs w:val="28"/>
        </w:rPr>
      </w:pPr>
      <w:r>
        <w:rPr>
          <w:rFonts w:hint="eastAsia" w:ascii="宋体" w:hAnsi="宋体" w:cs="Arial"/>
          <w:color w:val="000000"/>
          <w:sz w:val="28"/>
          <w:szCs w:val="28"/>
        </w:rPr>
        <w:t>每天下午17：00之前发送当日错别字检测报告。</w:t>
      </w:r>
    </w:p>
    <w:p>
      <w:pPr>
        <w:numPr>
          <w:ilvl w:val="0"/>
          <w:numId w:val="1"/>
        </w:numPr>
        <w:jc w:val="left"/>
        <w:rPr>
          <w:rFonts w:ascii="宋体" w:hAnsi="宋体" w:cs="Arial"/>
          <w:color w:val="000000"/>
          <w:sz w:val="28"/>
          <w:szCs w:val="28"/>
        </w:rPr>
      </w:pPr>
      <w:r>
        <w:rPr>
          <w:rFonts w:hint="eastAsia" w:ascii="宋体" w:hAnsi="宋体" w:cs="Arial"/>
          <w:color w:val="000000"/>
          <w:sz w:val="28"/>
          <w:szCs w:val="28"/>
        </w:rPr>
        <w:t>错别字检测包括：日常用语、成语、领导人名字、地名、专业术语、敏感证词……</w:t>
      </w:r>
    </w:p>
    <w:p>
      <w:pPr>
        <w:numPr>
          <w:ilvl w:val="0"/>
          <w:numId w:val="1"/>
        </w:numPr>
        <w:jc w:val="left"/>
        <w:rPr>
          <w:rFonts w:hint="eastAsia" w:ascii="宋体" w:hAnsi="宋体" w:cs="Arial"/>
          <w:color w:val="000000"/>
          <w:sz w:val="28"/>
          <w:szCs w:val="28"/>
        </w:rPr>
      </w:pPr>
      <w:r>
        <w:rPr>
          <w:rFonts w:hint="eastAsia" w:ascii="宋体" w:hAnsi="宋体" w:cs="Arial"/>
          <w:color w:val="000000"/>
          <w:sz w:val="28"/>
          <w:szCs w:val="28"/>
        </w:rPr>
        <w:t>所有提交的错别字检测结果，均经过人工的审核确认。</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2、网站24小时值班告警检测服务</w:t>
      </w:r>
    </w:p>
    <w:p>
      <w:pPr>
        <w:spacing w:line="600" w:lineRule="exact"/>
        <w:jc w:val="left"/>
        <w:rPr>
          <w:rFonts w:hint="eastAsia" w:ascii="Arial"/>
          <w:b/>
          <w:sz w:val="28"/>
          <w:szCs w:val="28"/>
        </w:rPr>
      </w:pPr>
      <w:r>
        <w:rPr>
          <w:rFonts w:hint="eastAsia" w:ascii="Arial"/>
          <w:b/>
          <w:sz w:val="28"/>
          <w:szCs w:val="28"/>
        </w:rPr>
        <w:t>软件诊断检测服务：</w:t>
      </w:r>
    </w:p>
    <w:p>
      <w:pPr>
        <w:spacing w:line="600" w:lineRule="exact"/>
        <w:ind w:firstLine="560" w:firstLineChars="200"/>
        <w:jc w:val="left"/>
        <w:rPr>
          <w:rFonts w:hint="eastAsia" w:ascii="Arial"/>
          <w:sz w:val="28"/>
          <w:szCs w:val="28"/>
        </w:rPr>
      </w:pPr>
      <w:r>
        <w:rPr>
          <w:rFonts w:hint="eastAsia" w:ascii="Arial"/>
          <w:sz w:val="28"/>
          <w:szCs w:val="28"/>
          <w:lang w:val="en-US" w:eastAsia="zh-CN"/>
        </w:rPr>
        <w:t>实施单位</w:t>
      </w:r>
      <w:r>
        <w:rPr>
          <w:rFonts w:hint="eastAsia" w:ascii="Arial"/>
          <w:sz w:val="28"/>
          <w:szCs w:val="28"/>
        </w:rPr>
        <w:t>服务中心</w:t>
      </w:r>
      <w:r>
        <w:rPr>
          <w:rFonts w:hint="eastAsia" w:ascii="Arial"/>
          <w:sz w:val="28"/>
          <w:szCs w:val="28"/>
          <w:lang w:val="en-US" w:eastAsia="zh-CN"/>
        </w:rPr>
        <w:t>需</w:t>
      </w:r>
      <w:r>
        <w:rPr>
          <w:rFonts w:hint="eastAsia" w:ascii="Arial"/>
          <w:sz w:val="28"/>
          <w:szCs w:val="28"/>
        </w:rPr>
        <w:t>为</w:t>
      </w:r>
      <w:r>
        <w:rPr>
          <w:rFonts w:hint="eastAsia" w:ascii="Arial"/>
          <w:sz w:val="28"/>
          <w:szCs w:val="28"/>
          <w:lang w:eastAsia="zh-CN"/>
        </w:rPr>
        <w:t>我局</w:t>
      </w:r>
      <w:r>
        <w:rPr>
          <w:rFonts w:hint="eastAsia" w:ascii="Arial"/>
          <w:sz w:val="28"/>
          <w:szCs w:val="28"/>
        </w:rPr>
        <w:t>配备两组值班人员，8人轮流值班，24 小时保障。当网站出现问题时（如发现网站无法访问、网站首页显示异常），诊断系统发送告警短信给</w:t>
      </w:r>
      <w:r>
        <w:rPr>
          <w:rFonts w:hint="eastAsia" w:ascii="Arial"/>
          <w:sz w:val="28"/>
          <w:szCs w:val="28"/>
          <w:lang w:val="en-US" w:eastAsia="zh-CN"/>
        </w:rPr>
        <w:t>实施单位</w:t>
      </w:r>
      <w:r>
        <w:rPr>
          <w:rFonts w:hint="eastAsia" w:ascii="Arial"/>
          <w:sz w:val="28"/>
          <w:szCs w:val="28"/>
        </w:rPr>
        <w:t>值班人员，</w:t>
      </w:r>
      <w:r>
        <w:rPr>
          <w:rFonts w:hint="eastAsia" w:ascii="Arial"/>
          <w:sz w:val="28"/>
          <w:szCs w:val="28"/>
          <w:lang w:val="en-US" w:eastAsia="zh-CN"/>
        </w:rPr>
        <w:t>实施单位</w:t>
      </w:r>
      <w:r>
        <w:rPr>
          <w:rFonts w:hint="eastAsia" w:ascii="Arial"/>
          <w:sz w:val="28"/>
          <w:szCs w:val="28"/>
        </w:rPr>
        <w:t>值班人员登录网站进行故障确认，然后立刻通知</w:t>
      </w:r>
      <w:r>
        <w:rPr>
          <w:rFonts w:hint="eastAsia" w:ascii="Arial"/>
          <w:sz w:val="28"/>
          <w:szCs w:val="28"/>
          <w:lang w:eastAsia="zh-CN"/>
        </w:rPr>
        <w:t>我局</w:t>
      </w:r>
      <w:r>
        <w:rPr>
          <w:rFonts w:hint="eastAsia" w:ascii="Arial"/>
          <w:sz w:val="28"/>
          <w:szCs w:val="28"/>
        </w:rPr>
        <w:t>网站的相关负责人员，迅速采取修复、断网等措施，减少损失。</w:t>
      </w:r>
    </w:p>
    <w:p>
      <w:pPr>
        <w:spacing w:line="600" w:lineRule="exact"/>
        <w:ind w:firstLine="560" w:firstLineChars="200"/>
        <w:jc w:val="left"/>
        <w:rPr>
          <w:rFonts w:hint="eastAsia" w:ascii="Arial"/>
          <w:sz w:val="28"/>
          <w:szCs w:val="28"/>
        </w:rPr>
      </w:pPr>
      <w:r>
        <w:rPr>
          <w:rFonts w:hint="eastAsia" w:ascii="Arial"/>
          <w:sz w:val="28"/>
          <w:szCs w:val="28"/>
        </w:rPr>
        <w:t>值班时间包括周末及各种节假日。</w:t>
      </w:r>
    </w:p>
    <w:tbl>
      <w:tblPr>
        <w:tblStyle w:val="3"/>
        <w:tblW w:w="92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3103"/>
        <w:gridCol w:w="1708"/>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158" w:type="dxa"/>
            <w:shd w:val="clear" w:color="auto" w:fill="F2F2F2"/>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监测级别</w:t>
            </w:r>
          </w:p>
        </w:tc>
        <w:tc>
          <w:tcPr>
            <w:tcW w:w="3103" w:type="dxa"/>
            <w:shd w:val="clear" w:color="auto" w:fill="F2F2F2"/>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适用范围</w:t>
            </w:r>
          </w:p>
        </w:tc>
        <w:tc>
          <w:tcPr>
            <w:tcW w:w="1708" w:type="dxa"/>
            <w:shd w:val="clear" w:color="auto" w:fill="F2F2F2"/>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监测频率</w:t>
            </w:r>
          </w:p>
        </w:tc>
        <w:tc>
          <w:tcPr>
            <w:tcW w:w="3256" w:type="dxa"/>
            <w:shd w:val="clear" w:color="auto" w:fill="F2F2F2"/>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监测内容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1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高频级扫描监测</w:t>
            </w:r>
          </w:p>
        </w:tc>
        <w:tc>
          <w:tcPr>
            <w:tcW w:w="3103" w:type="dxa"/>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（1）主站首页</w:t>
            </w:r>
          </w:p>
        </w:tc>
        <w:tc>
          <w:tcPr>
            <w:tcW w:w="170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每隔3-5分钟扫描一次</w:t>
            </w:r>
          </w:p>
        </w:tc>
        <w:tc>
          <w:tcPr>
            <w:tcW w:w="3256"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（1）网站首页不可访问情况；</w:t>
            </w:r>
          </w:p>
          <w:p>
            <w:pPr>
              <w:widowControl/>
              <w:jc w:val="left"/>
              <w:rPr>
                <w:rFonts w:hint="eastAsia" w:ascii="宋体" w:hAnsi="宋体" w:cs="宋体"/>
                <w:color w:val="000000"/>
                <w:kern w:val="0"/>
                <w:szCs w:val="21"/>
              </w:rPr>
            </w:pPr>
            <w:r>
              <w:rPr>
                <w:rFonts w:hint="eastAsia" w:ascii="宋体" w:hAnsi="宋体" w:cs="宋体"/>
                <w:color w:val="000000"/>
                <w:kern w:val="0"/>
                <w:szCs w:val="21"/>
              </w:rPr>
              <w:t>（2）网站首页显示异常；</w:t>
            </w:r>
          </w:p>
          <w:p>
            <w:pPr>
              <w:widowControl/>
              <w:jc w:val="left"/>
              <w:rPr>
                <w:rFonts w:ascii="宋体" w:hAnsi="宋体" w:cs="宋体"/>
                <w:kern w:val="0"/>
                <w:szCs w:val="21"/>
              </w:rPr>
            </w:pPr>
            <w:r>
              <w:rPr>
                <w:rFonts w:hint="eastAsia" w:ascii="宋体" w:hAnsi="宋体" w:cs="宋体"/>
                <w:kern w:val="0"/>
                <w:szCs w:val="21"/>
              </w:rPr>
              <w:t>（3）网站首页长期间无更新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115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巡航级扫描监测</w:t>
            </w:r>
          </w:p>
        </w:tc>
        <w:tc>
          <w:tcPr>
            <w:tcW w:w="3103" w:type="dxa"/>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（1）主站约定重点栏目</w:t>
            </w:r>
          </w:p>
          <w:p>
            <w:pPr>
              <w:widowControl/>
              <w:jc w:val="left"/>
              <w:rPr>
                <w:rFonts w:ascii="宋体" w:hAnsi="宋体" w:cs="宋体"/>
                <w:color w:val="000000"/>
                <w:kern w:val="0"/>
                <w:szCs w:val="21"/>
              </w:rPr>
            </w:pPr>
          </w:p>
        </w:tc>
        <w:tc>
          <w:tcPr>
            <w:tcW w:w="1708" w:type="dxa"/>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每隔10-20分钟扫描一次</w:t>
            </w:r>
          </w:p>
        </w:tc>
        <w:tc>
          <w:tcPr>
            <w:tcW w:w="3256" w:type="dxa"/>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（1）主站约定重点栏目不可访问</w:t>
            </w:r>
          </w:p>
        </w:tc>
      </w:tr>
    </w:tbl>
    <w:p>
      <w:pPr>
        <w:spacing w:line="600" w:lineRule="exact"/>
        <w:ind w:firstLine="562" w:firstLineChars="200"/>
        <w:jc w:val="left"/>
        <w:rPr>
          <w:rFonts w:hint="eastAsia" w:ascii="Arial"/>
          <w:b/>
          <w:sz w:val="28"/>
          <w:szCs w:val="28"/>
        </w:rPr>
      </w:pPr>
      <w:r>
        <w:rPr>
          <w:rFonts w:hint="eastAsia" w:ascii="Arial"/>
          <w:b/>
          <w:sz w:val="28"/>
          <w:szCs w:val="28"/>
        </w:rPr>
        <w:t>告警人工审核服务：</w:t>
      </w:r>
    </w:p>
    <w:p>
      <w:pPr>
        <w:spacing w:line="600" w:lineRule="exact"/>
        <w:ind w:firstLine="560" w:firstLineChars="200"/>
        <w:jc w:val="left"/>
        <w:rPr>
          <w:rFonts w:hint="eastAsia" w:ascii="Arial"/>
          <w:sz w:val="28"/>
          <w:szCs w:val="28"/>
        </w:rPr>
      </w:pPr>
      <w:r>
        <w:rPr>
          <w:rFonts w:hint="eastAsia" w:ascii="Arial"/>
          <w:sz w:val="28"/>
          <w:szCs w:val="28"/>
          <w:lang w:val="en-US" w:eastAsia="zh-CN"/>
        </w:rPr>
        <w:t>实施单位</w:t>
      </w:r>
      <w:r>
        <w:rPr>
          <w:rFonts w:hint="eastAsia" w:ascii="Arial"/>
          <w:sz w:val="28"/>
          <w:szCs w:val="28"/>
        </w:rPr>
        <w:t>值班中心24小时都由专人值守，值班人员负责接收由来自诊断监测系统发来的告警信息，并根据告警信息的提示登陆到具体网站上进行核实，如果情况属实则立即通知相关负责人员。告警方式主要有电话通知、短信、邮件等方式。出于减少误报考虑，</w:t>
      </w:r>
      <w:r>
        <w:rPr>
          <w:rFonts w:hint="eastAsia" w:ascii="Arial"/>
          <w:sz w:val="28"/>
          <w:szCs w:val="28"/>
          <w:lang w:eastAsia="zh-CN"/>
        </w:rPr>
        <w:t>实施单位</w:t>
      </w:r>
      <w:r>
        <w:rPr>
          <w:rFonts w:hint="eastAsia" w:ascii="Arial"/>
          <w:sz w:val="28"/>
          <w:szCs w:val="28"/>
        </w:rPr>
        <w:t>值班人员接断网告警后会人工持续访问客户网站2-4分钟，如果确认非瞬断，则立即拨打客户电话。</w:t>
      </w:r>
    </w:p>
    <w:p>
      <w:pPr>
        <w:spacing w:line="600" w:lineRule="exact"/>
        <w:ind w:firstLine="562" w:firstLineChars="200"/>
        <w:jc w:val="left"/>
        <w:rPr>
          <w:rFonts w:hint="eastAsia" w:ascii="Arial"/>
          <w:sz w:val="28"/>
          <w:szCs w:val="28"/>
        </w:rPr>
      </w:pPr>
      <w:r>
        <w:rPr>
          <w:rFonts w:hint="eastAsia" w:ascii="Arial"/>
          <w:b/>
          <w:sz w:val="28"/>
          <w:szCs w:val="28"/>
        </w:rPr>
        <w:t>人工读网服务：</w:t>
      </w:r>
      <w:r>
        <w:rPr>
          <w:rFonts w:hint="eastAsia" w:ascii="Arial"/>
          <w:sz w:val="28"/>
          <w:szCs w:val="28"/>
        </w:rPr>
        <w:t>值班中心除了依靠诊断监测软件对政府网站进行全天24小时实时监测外，还为</w:t>
      </w:r>
      <w:r>
        <w:rPr>
          <w:rFonts w:hint="eastAsia" w:ascii="Arial"/>
          <w:sz w:val="28"/>
          <w:szCs w:val="28"/>
          <w:lang w:eastAsia="zh-CN"/>
        </w:rPr>
        <w:t>我局</w:t>
      </w:r>
      <w:r>
        <w:rPr>
          <w:rFonts w:hint="eastAsia" w:ascii="Arial"/>
          <w:sz w:val="28"/>
          <w:szCs w:val="28"/>
        </w:rPr>
        <w:t>提供定期人工巡查服务，巡检频率及内容如下：</w:t>
      </w:r>
    </w:p>
    <w:tbl>
      <w:tblPr>
        <w:tblStyle w:val="3"/>
        <w:tblW w:w="8477" w:type="dxa"/>
        <w:jc w:val="center"/>
        <w:tblLayout w:type="autofit"/>
        <w:tblCellMar>
          <w:top w:w="0" w:type="dxa"/>
          <w:left w:w="108" w:type="dxa"/>
          <w:bottom w:w="0" w:type="dxa"/>
          <w:right w:w="108" w:type="dxa"/>
        </w:tblCellMar>
      </w:tblPr>
      <w:tblGrid>
        <w:gridCol w:w="1787"/>
        <w:gridCol w:w="1985"/>
        <w:gridCol w:w="1984"/>
        <w:gridCol w:w="2721"/>
      </w:tblGrid>
      <w:tr>
        <w:tblPrEx>
          <w:tblCellMar>
            <w:top w:w="0" w:type="dxa"/>
            <w:left w:w="108" w:type="dxa"/>
            <w:bottom w:w="0" w:type="dxa"/>
            <w:right w:w="108" w:type="dxa"/>
          </w:tblCellMar>
        </w:tblPrEx>
        <w:trPr>
          <w:trHeight w:val="626" w:hRule="atLeast"/>
          <w:jc w:val="center"/>
        </w:trPr>
        <w:tc>
          <w:tcPr>
            <w:tcW w:w="1787" w:type="dxa"/>
            <w:tcBorders>
              <w:top w:val="single" w:color="auto" w:sz="4" w:space="0"/>
              <w:left w:val="single" w:color="auto" w:sz="4" w:space="0"/>
              <w:bottom w:val="single" w:color="auto" w:sz="4" w:space="0"/>
              <w:right w:val="single" w:color="auto" w:sz="4" w:space="0"/>
            </w:tcBorders>
            <w:shd w:val="clear" w:color="auto" w:fill="F2F2F2"/>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巡查时间</w:t>
            </w:r>
          </w:p>
        </w:tc>
        <w:tc>
          <w:tcPr>
            <w:tcW w:w="1985" w:type="dxa"/>
            <w:tcBorders>
              <w:top w:val="single" w:color="auto" w:sz="4" w:space="0"/>
              <w:left w:val="nil"/>
              <w:bottom w:val="single" w:color="auto" w:sz="4" w:space="0"/>
              <w:right w:val="single" w:color="auto" w:sz="4" w:space="0"/>
            </w:tcBorders>
            <w:shd w:val="clear" w:color="auto" w:fill="F2F2F2"/>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时间定义</w:t>
            </w:r>
          </w:p>
        </w:tc>
        <w:tc>
          <w:tcPr>
            <w:tcW w:w="1984" w:type="dxa"/>
            <w:tcBorders>
              <w:top w:val="single" w:color="auto" w:sz="4" w:space="0"/>
              <w:left w:val="nil"/>
              <w:bottom w:val="single" w:color="auto" w:sz="4" w:space="0"/>
              <w:right w:val="single" w:color="auto" w:sz="4" w:space="0"/>
            </w:tcBorders>
            <w:shd w:val="clear" w:color="auto" w:fill="F2F2F2"/>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巡查频率</w:t>
            </w:r>
          </w:p>
        </w:tc>
        <w:tc>
          <w:tcPr>
            <w:tcW w:w="2721" w:type="dxa"/>
            <w:tcBorders>
              <w:top w:val="single" w:color="auto" w:sz="4" w:space="0"/>
              <w:left w:val="nil"/>
              <w:bottom w:val="single" w:color="auto" w:sz="4" w:space="0"/>
              <w:right w:val="single" w:color="auto" w:sz="4" w:space="0"/>
            </w:tcBorders>
            <w:shd w:val="clear" w:color="auto" w:fill="F2F2F2"/>
            <w:noWrap w:val="0"/>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巡查内容</w:t>
            </w:r>
          </w:p>
        </w:tc>
      </w:tr>
      <w:tr>
        <w:tblPrEx>
          <w:tblCellMar>
            <w:top w:w="0" w:type="dxa"/>
            <w:left w:w="108" w:type="dxa"/>
            <w:bottom w:w="0" w:type="dxa"/>
            <w:right w:w="108" w:type="dxa"/>
          </w:tblCellMar>
        </w:tblPrEx>
        <w:trPr>
          <w:trHeight w:val="1622" w:hRule="atLeast"/>
          <w:jc w:val="center"/>
        </w:trPr>
        <w:tc>
          <w:tcPr>
            <w:tcW w:w="17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日常工作时间</w:t>
            </w:r>
          </w:p>
        </w:tc>
        <w:tc>
          <w:tcPr>
            <w:tcW w:w="19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周一至周五08:30-18:00</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（1）主站首页每1小时巡查一遍；</w:t>
            </w:r>
          </w:p>
          <w:p>
            <w:pPr>
              <w:widowControl/>
              <w:jc w:val="left"/>
              <w:rPr>
                <w:rFonts w:ascii="宋体" w:hAnsi="宋体" w:cs="宋体"/>
                <w:kern w:val="0"/>
                <w:szCs w:val="21"/>
              </w:rPr>
            </w:pPr>
          </w:p>
        </w:tc>
        <w:tc>
          <w:tcPr>
            <w:tcW w:w="272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（1）网站首页不可访问情况；</w:t>
            </w:r>
          </w:p>
          <w:p>
            <w:pPr>
              <w:widowControl/>
              <w:jc w:val="left"/>
              <w:rPr>
                <w:rFonts w:ascii="宋体" w:hAnsi="宋体" w:cs="宋体"/>
                <w:kern w:val="0"/>
                <w:szCs w:val="21"/>
              </w:rPr>
            </w:pPr>
            <w:r>
              <w:rPr>
                <w:rFonts w:hint="eastAsia" w:ascii="宋体" w:hAnsi="宋体" w:cs="宋体"/>
                <w:kern w:val="0"/>
                <w:szCs w:val="21"/>
              </w:rPr>
              <w:t>（2）网站首页显示异常；</w:t>
            </w:r>
            <w:r>
              <w:rPr>
                <w:rFonts w:ascii="宋体" w:hAnsi="宋体" w:cs="宋体"/>
                <w:kern w:val="0"/>
                <w:szCs w:val="21"/>
              </w:rPr>
              <w:t xml:space="preserve"> </w:t>
            </w:r>
          </w:p>
        </w:tc>
      </w:tr>
      <w:tr>
        <w:tblPrEx>
          <w:tblCellMar>
            <w:top w:w="0" w:type="dxa"/>
            <w:left w:w="108" w:type="dxa"/>
            <w:bottom w:w="0" w:type="dxa"/>
            <w:right w:w="108" w:type="dxa"/>
          </w:tblCellMar>
        </w:tblPrEx>
        <w:trPr>
          <w:trHeight w:val="1622" w:hRule="atLeast"/>
          <w:jc w:val="center"/>
        </w:trPr>
        <w:tc>
          <w:tcPr>
            <w:tcW w:w="17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日常非工作时间</w:t>
            </w:r>
          </w:p>
        </w:tc>
        <w:tc>
          <w:tcPr>
            <w:tcW w:w="19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当日18:00-次日08:30</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（1）主站首页每1小时巡查一遍；</w:t>
            </w:r>
          </w:p>
          <w:p>
            <w:pPr>
              <w:widowControl/>
              <w:jc w:val="left"/>
              <w:rPr>
                <w:rFonts w:ascii="宋体" w:hAnsi="宋体" w:cs="宋体"/>
                <w:kern w:val="0"/>
                <w:szCs w:val="21"/>
              </w:rPr>
            </w:pPr>
          </w:p>
        </w:tc>
        <w:tc>
          <w:tcPr>
            <w:tcW w:w="272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（1）网站首页不可访问情况；</w:t>
            </w:r>
          </w:p>
          <w:p>
            <w:pPr>
              <w:widowControl/>
              <w:jc w:val="left"/>
              <w:rPr>
                <w:rFonts w:ascii="宋体" w:hAnsi="宋体" w:cs="宋体"/>
                <w:kern w:val="0"/>
                <w:szCs w:val="21"/>
              </w:rPr>
            </w:pPr>
            <w:r>
              <w:rPr>
                <w:rFonts w:hint="eastAsia" w:ascii="宋体" w:hAnsi="宋体" w:cs="宋体"/>
                <w:kern w:val="0"/>
                <w:szCs w:val="21"/>
              </w:rPr>
              <w:t>（2）网站首页显示异常；</w:t>
            </w:r>
          </w:p>
        </w:tc>
      </w:tr>
      <w:tr>
        <w:tblPrEx>
          <w:tblCellMar>
            <w:top w:w="0" w:type="dxa"/>
            <w:left w:w="108" w:type="dxa"/>
            <w:bottom w:w="0" w:type="dxa"/>
            <w:right w:w="108" w:type="dxa"/>
          </w:tblCellMar>
        </w:tblPrEx>
        <w:trPr>
          <w:trHeight w:val="1955" w:hRule="atLeast"/>
          <w:jc w:val="center"/>
        </w:trPr>
        <w:tc>
          <w:tcPr>
            <w:tcW w:w="17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重大活动期间</w:t>
            </w:r>
          </w:p>
        </w:tc>
        <w:tc>
          <w:tcPr>
            <w:tcW w:w="198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待定</w:t>
            </w:r>
          </w:p>
        </w:tc>
        <w:tc>
          <w:tcPr>
            <w:tcW w:w="1984"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（1）主站首页每30分钟巡查一遍；</w:t>
            </w:r>
          </w:p>
          <w:p>
            <w:pPr>
              <w:widowControl/>
              <w:jc w:val="left"/>
              <w:rPr>
                <w:rFonts w:ascii="宋体" w:hAnsi="宋体" w:cs="宋体"/>
                <w:kern w:val="0"/>
                <w:szCs w:val="21"/>
              </w:rPr>
            </w:pPr>
          </w:p>
        </w:tc>
        <w:tc>
          <w:tcPr>
            <w:tcW w:w="272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（1）网站首页不可访问情况；</w:t>
            </w:r>
          </w:p>
          <w:p>
            <w:pPr>
              <w:widowControl/>
              <w:jc w:val="left"/>
              <w:rPr>
                <w:rFonts w:ascii="宋体" w:hAnsi="宋体" w:cs="宋体"/>
                <w:kern w:val="0"/>
                <w:szCs w:val="21"/>
              </w:rPr>
            </w:pPr>
            <w:r>
              <w:rPr>
                <w:rFonts w:hint="eastAsia" w:ascii="宋体" w:hAnsi="宋体" w:cs="宋体"/>
                <w:kern w:val="0"/>
                <w:szCs w:val="21"/>
              </w:rPr>
              <w:t>（2）网站首页显示异常；</w:t>
            </w:r>
          </w:p>
        </w:tc>
      </w:tr>
    </w:tbl>
    <w:p>
      <w:pPr>
        <w:spacing w:line="600" w:lineRule="exact"/>
        <w:ind w:firstLine="560" w:firstLineChars="200"/>
        <w:jc w:val="left"/>
        <w:rPr>
          <w:rFonts w:hint="eastAsia" w:ascii="宋体" w:hAnsi="宋体"/>
          <w:bCs/>
          <w:sz w:val="28"/>
          <w:szCs w:val="28"/>
        </w:rPr>
      </w:pPr>
      <w:r>
        <w:rPr>
          <w:rFonts w:hint="eastAsia" w:ascii="宋体" w:hAnsi="宋体"/>
          <w:bCs/>
          <w:sz w:val="28"/>
          <w:szCs w:val="28"/>
        </w:rPr>
        <w:t>3、网站普查检测服务及政府网站检查服务</w:t>
      </w:r>
    </w:p>
    <w:p>
      <w:pPr>
        <w:spacing w:line="600" w:lineRule="exact"/>
        <w:ind w:firstLine="555"/>
        <w:jc w:val="left"/>
        <w:rPr>
          <w:rFonts w:ascii="宋体" w:hAnsi="宋体"/>
          <w:bCs/>
          <w:sz w:val="28"/>
          <w:szCs w:val="28"/>
        </w:rPr>
      </w:pPr>
      <w:r>
        <w:rPr>
          <w:rFonts w:hint="eastAsia" w:ascii="宋体" w:hAnsi="宋体"/>
          <w:bCs/>
          <w:sz w:val="28"/>
          <w:szCs w:val="28"/>
        </w:rPr>
        <w:t>按照国办发﹝2015﹞15号文件附件2《全国政府网站普查评分表》的内容及《国务院办公厅秘书局关于印发政府网站与政务新媒体检查指标、监管工作年度考核指标的通知》中关于政府网站的检查指标对昆山市人民政府网站进行相关检查测评服务。</w:t>
      </w:r>
    </w:p>
    <w:p>
      <w:pPr>
        <w:pStyle w:val="2"/>
        <w:shd w:val="clear" w:color="auto" w:fill="FFFFFF"/>
        <w:spacing w:line="580" w:lineRule="exact"/>
        <w:ind w:firstLine="600"/>
        <w:rPr>
          <w:rFonts w:ascii="黑体" w:hAnsi="黑体" w:eastAsia="黑体" w:cs="仿宋_GB2312"/>
          <w:sz w:val="32"/>
          <w:szCs w:val="32"/>
        </w:rPr>
      </w:pPr>
      <w:r>
        <w:rPr>
          <w:rFonts w:hint="eastAsia"/>
          <w:bCs/>
          <w:sz w:val="28"/>
          <w:szCs w:val="28"/>
        </w:rPr>
        <w:t>（1）检测内容具体包含：</w:t>
      </w:r>
    </w:p>
    <w:p>
      <w:pPr>
        <w:pStyle w:val="2"/>
        <w:shd w:val="clear" w:color="auto" w:fill="FFFFFF"/>
        <w:spacing w:before="0" w:beforeAutospacing="0" w:after="0" w:afterAutospacing="0" w:line="580" w:lineRule="exact"/>
        <w:ind w:firstLine="600"/>
        <w:rPr>
          <w:rFonts w:ascii="黑体" w:hAnsi="黑体" w:eastAsia="黑体" w:cs="仿宋_GB2312"/>
          <w:kern w:val="2"/>
          <w:sz w:val="32"/>
          <w:szCs w:val="32"/>
        </w:rPr>
      </w:pPr>
      <w:r>
        <w:rPr>
          <w:rFonts w:hint="eastAsia" w:ascii="黑体" w:hAnsi="黑体" w:eastAsia="黑体" w:cs="仿宋_GB2312"/>
          <w:kern w:val="2"/>
          <w:sz w:val="32"/>
          <w:szCs w:val="32"/>
        </w:rPr>
        <w:t>全国政府网站普查评分表及检查方式</w:t>
      </w:r>
    </w:p>
    <w:tbl>
      <w:tblPr>
        <w:tblStyle w:val="3"/>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48"/>
        <w:gridCol w:w="1195"/>
        <w:gridCol w:w="2630"/>
        <w:gridCol w:w="3648"/>
        <w:gridCol w:w="115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7" w:hRule="atLeast"/>
          <w:tblHeader/>
          <w:jc w:val="center"/>
        </w:trPr>
        <w:tc>
          <w:tcPr>
            <w:tcW w:w="10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b/>
                <w:kern w:val="0"/>
                <w:sz w:val="20"/>
              </w:rPr>
            </w:pPr>
            <w:r>
              <w:rPr>
                <w:b/>
                <w:kern w:val="0"/>
                <w:sz w:val="20"/>
              </w:rPr>
              <w:t>一级指标</w:t>
            </w: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b/>
                <w:kern w:val="0"/>
                <w:sz w:val="20"/>
              </w:rPr>
            </w:pPr>
            <w:r>
              <w:rPr>
                <w:b/>
                <w:kern w:val="0"/>
                <w:sz w:val="20"/>
              </w:rPr>
              <w:t>二级指标</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b/>
                <w:kern w:val="0"/>
                <w:sz w:val="20"/>
              </w:rPr>
            </w:pPr>
            <w:r>
              <w:rPr>
                <w:b/>
                <w:kern w:val="0"/>
                <w:sz w:val="20"/>
              </w:rPr>
              <w:t>考察点</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b/>
                <w:kern w:val="0"/>
                <w:sz w:val="20"/>
              </w:rPr>
            </w:pPr>
            <w:r>
              <w:rPr>
                <w:b/>
                <w:kern w:val="0"/>
                <w:sz w:val="20"/>
              </w:rPr>
              <w:t>扣分细则</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spacing w:line="420" w:lineRule="atLeast"/>
              <w:jc w:val="center"/>
              <w:rPr>
                <w:b/>
                <w:kern w:val="0"/>
                <w:sz w:val="20"/>
              </w:rPr>
            </w:pPr>
            <w:r>
              <w:rPr>
                <w:rFonts w:hint="eastAsia"/>
                <w:b/>
                <w:kern w:val="0"/>
                <w:sz w:val="20"/>
              </w:rPr>
              <w:t>检查方式</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5" w:hRule="atLeast"/>
          <w:jc w:val="center"/>
        </w:trPr>
        <w:tc>
          <w:tcPr>
            <w:tcW w:w="1048"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单项否决</w:t>
            </w: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站点无法访问</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首页打不开的次数占全部监测次数的比例。</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监测1周，每天间隔性访问20次以上，超过（含）15秒网站仍打不开的次数比例累计超过（含）5%，即单项否决。</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机器检查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5"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网站不更新</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首页栏目信息更新情况。</w:t>
            </w:r>
            <w:r>
              <w:rPr>
                <w:kern w:val="0"/>
                <w:sz w:val="20"/>
              </w:rPr>
              <w:br w:type="textWrapping"/>
            </w:r>
            <w:r>
              <w:rPr>
                <w:kern w:val="0"/>
                <w:sz w:val="20"/>
              </w:rPr>
              <w:t>如首页仅为网站栏目导航入口，则检查所有二级页面栏目信息的更新情况。</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监测2周，首页栏目无信息更新的，即单项否决。</w:t>
            </w:r>
            <w:r>
              <w:rPr>
                <w:kern w:val="0"/>
                <w:sz w:val="20"/>
              </w:rPr>
              <w:br w:type="textWrapping"/>
            </w:r>
            <w:r>
              <w:rPr>
                <w:kern w:val="0"/>
                <w:sz w:val="20"/>
              </w:rPr>
              <w:t>（注：未注明信息发布时间的视为不更新，下同。）</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kern w:val="0"/>
                <w:sz w:val="20"/>
              </w:rPr>
              <w:t>栏目不更新</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1.动态、要闻、通知公告、政策文件等信息长期未更新的栏目数量；</w:t>
            </w:r>
            <w:r>
              <w:rPr>
                <w:kern w:val="0"/>
                <w:sz w:val="20"/>
              </w:rPr>
              <w:br w:type="textWrapping"/>
            </w:r>
            <w:r>
              <w:rPr>
                <w:kern w:val="0"/>
                <w:sz w:val="20"/>
              </w:rPr>
              <w:t>2.网站中应更新但长期未更新的栏目数量；</w:t>
            </w:r>
            <w:r>
              <w:rPr>
                <w:kern w:val="0"/>
                <w:sz w:val="20"/>
              </w:rPr>
              <w:br w:type="textWrapping"/>
            </w:r>
            <w:r>
              <w:rPr>
                <w:kern w:val="0"/>
                <w:sz w:val="20"/>
              </w:rPr>
              <w:t>3.网站中的空白栏目（有栏目无内容）数量。</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1.监测时间点前2周内的动态、要闻类栏目，以及监测时间点前6个月内的通知公告、政策文件类栏目，累计超过（含）5个未更新；</w:t>
            </w:r>
            <w:r>
              <w:rPr>
                <w:kern w:val="0"/>
                <w:sz w:val="20"/>
              </w:rPr>
              <w:br w:type="textWrapping"/>
            </w:r>
            <w:r>
              <w:rPr>
                <w:kern w:val="0"/>
                <w:sz w:val="20"/>
              </w:rPr>
              <w:t>2.网站中应更新但长期未更新的栏目数超过（含）10个；</w:t>
            </w:r>
            <w:r>
              <w:rPr>
                <w:kern w:val="0"/>
                <w:sz w:val="20"/>
              </w:rPr>
              <w:br w:type="textWrapping"/>
            </w:r>
            <w:r>
              <w:rPr>
                <w:kern w:val="0"/>
                <w:sz w:val="20"/>
              </w:rPr>
              <w:t>3.空白栏目数量超过（含）5个。</w:t>
            </w:r>
            <w:r>
              <w:rPr>
                <w:kern w:val="0"/>
                <w:sz w:val="20"/>
              </w:rPr>
              <w:br w:type="textWrapping"/>
            </w:r>
            <w:r>
              <w:rPr>
                <w:kern w:val="0"/>
                <w:sz w:val="20"/>
              </w:rPr>
              <w:t>上述情况出现任意一种，即单项否决。</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08"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严重错误</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1.网站存在严重错别字；</w:t>
            </w:r>
            <w:r>
              <w:rPr>
                <w:kern w:val="0"/>
                <w:sz w:val="20"/>
              </w:rPr>
              <w:br w:type="textWrapping"/>
            </w:r>
            <w:r>
              <w:rPr>
                <w:kern w:val="0"/>
                <w:sz w:val="20"/>
              </w:rPr>
              <w:t>2.网站存在虚假或伪造内容；</w:t>
            </w:r>
            <w:r>
              <w:rPr>
                <w:kern w:val="0"/>
                <w:sz w:val="20"/>
              </w:rPr>
              <w:br w:type="textWrapping"/>
            </w:r>
            <w:r>
              <w:rPr>
                <w:kern w:val="0"/>
                <w:sz w:val="20"/>
              </w:rPr>
              <w:t>3.网站存在反动、暴力、色情等内容。</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网站出现严重错别字（例如，将党和国家领导人姓名写错）、虚假或伪造内容（例如，严重不符合实际情况的文字、图片、视频）以及反动、暴力、色情等内容的，即单项否决。</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机器检查</w:t>
            </w:r>
          </w:p>
          <w:p>
            <w:pPr>
              <w:spacing w:line="420" w:lineRule="atLeast"/>
              <w:jc w:val="center"/>
              <w:rPr>
                <w:kern w:val="0"/>
                <w:sz w:val="20"/>
              </w:rPr>
            </w:pPr>
            <w:r>
              <w:rPr>
                <w:rFonts w:hint="eastAsia"/>
                <w:kern w:val="0"/>
                <w:sz w:val="20"/>
              </w:rPr>
              <w:t>+</w:t>
            </w:r>
          </w:p>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08"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kern w:val="0"/>
                <w:sz w:val="20"/>
              </w:rPr>
              <w:t>互动回应差</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互动回应类栏目长期未回应的情况。</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监测时间点前1年内，要求对公众信件、留言及时答复处理的政务咨询类栏目（在线访谈、调查征集、举报投诉类栏目除外）中存在超过三个月未回应的现象，即单项否决。</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7" w:hRule="atLeast"/>
          <w:jc w:val="center"/>
        </w:trPr>
        <w:tc>
          <w:tcPr>
            <w:tcW w:w="1048"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网站可用性</w:t>
            </w: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kern w:val="0"/>
                <w:sz w:val="20"/>
              </w:rPr>
              <w:t>首页</w:t>
            </w:r>
          </w:p>
          <w:p>
            <w:pPr>
              <w:spacing w:line="420" w:lineRule="atLeast"/>
              <w:jc w:val="center"/>
              <w:rPr>
                <w:kern w:val="0"/>
              </w:rPr>
            </w:pPr>
            <w:r>
              <w:rPr>
                <w:kern w:val="0"/>
                <w:sz w:val="20"/>
              </w:rPr>
              <w:t>可用性</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首页打不开的次数占全部监测次数的比例。</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监测1周，每天间隔性访问20次以上，累计超过（含）15秒网站仍打不开的次数比例每1%扣5分（累计超过（含）5%的，直接列入单项否决）。</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机器检查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kern w:val="0"/>
                <w:sz w:val="20"/>
              </w:rPr>
              <w:t>链接</w:t>
            </w:r>
          </w:p>
          <w:p>
            <w:pPr>
              <w:spacing w:line="420" w:lineRule="atLeast"/>
              <w:jc w:val="center"/>
              <w:rPr>
                <w:kern w:val="0"/>
              </w:rPr>
            </w:pPr>
            <w:r>
              <w:rPr>
                <w:kern w:val="0"/>
                <w:sz w:val="20"/>
              </w:rPr>
              <w:t>可用性</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首页及其他页面不能正常访问的链接数量。</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1.首页上的链接（包括图片、附件、外部链接等），每发现一个打不开或错误的，扣1分；如首页仅为网站栏目导航入口，则检查所有二级页面上的链接。</w:t>
            </w:r>
            <w:r>
              <w:rPr>
                <w:kern w:val="0"/>
                <w:sz w:val="20"/>
              </w:rPr>
              <w:br w:type="textWrapping"/>
            </w:r>
            <w:r>
              <w:rPr>
                <w:kern w:val="0"/>
                <w:sz w:val="20"/>
              </w:rPr>
              <w:t>2.其他页面的链接（包括图片、附件、外部链接等），每发现一个打不开或错误的，扣0.1分。</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机器检查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5" w:hRule="atLeast"/>
          <w:jc w:val="center"/>
        </w:trPr>
        <w:tc>
          <w:tcPr>
            <w:tcW w:w="1048"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信息更新情况</w:t>
            </w: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首页栏目</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首页栏目信息更新数量。</w:t>
            </w:r>
            <w:r>
              <w:rPr>
                <w:kern w:val="0"/>
                <w:sz w:val="20"/>
              </w:rPr>
              <w:br w:type="textWrapping"/>
            </w:r>
            <w:r>
              <w:rPr>
                <w:kern w:val="0"/>
                <w:sz w:val="20"/>
              </w:rPr>
              <w:t>如首页仅为网站栏目导航入口，则检查所有二级页面栏目信息更新情况。</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监测2周，首页栏目信息更新总量少于10条的，扣5分（2周内首页栏目信息更新总量为0的，直接列入单项否决）。</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85"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基本信息</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1.基本信息更新是否及时；</w:t>
            </w:r>
            <w:r>
              <w:rPr>
                <w:kern w:val="0"/>
                <w:sz w:val="20"/>
              </w:rPr>
              <w:br w:type="textWrapping"/>
            </w:r>
            <w:r>
              <w:rPr>
                <w:kern w:val="0"/>
                <w:sz w:val="20"/>
              </w:rPr>
              <w:t>2.基本信息内容是否准确。</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1.监测时间点前2周内，动态、要闻类信息，每发现1个栏目未更新的，扣3分；</w:t>
            </w:r>
            <w:r>
              <w:rPr>
                <w:kern w:val="0"/>
                <w:sz w:val="20"/>
              </w:rPr>
              <w:br w:type="textWrapping"/>
            </w:r>
            <w:r>
              <w:rPr>
                <w:kern w:val="0"/>
                <w:sz w:val="20"/>
              </w:rPr>
              <w:t>2.监测时间点前6个月内，通知公告、政策文件类信息，每发现1个栏目未更新的，扣4分；</w:t>
            </w:r>
            <w:r>
              <w:rPr>
                <w:kern w:val="0"/>
                <w:sz w:val="20"/>
              </w:rPr>
              <w:br w:type="textWrapping"/>
            </w:r>
            <w:r>
              <w:rPr>
                <w:kern w:val="0"/>
                <w:sz w:val="20"/>
              </w:rPr>
              <w:t>3.监测时间点前1年内，人事、规划计划类信息，每发现1个栏目未更新的，扣5分；</w:t>
            </w:r>
            <w:r>
              <w:rPr>
                <w:kern w:val="0"/>
                <w:sz w:val="20"/>
              </w:rPr>
              <w:br w:type="textWrapping"/>
            </w:r>
            <w:r>
              <w:rPr>
                <w:kern w:val="0"/>
                <w:sz w:val="20"/>
              </w:rPr>
              <w:t>4.机构设置及职能、动态、要闻、通知公告、政策文件、规划计划、人事等信息不准确的，每发现1次扣1分。</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6" w:hRule="atLeast"/>
          <w:jc w:val="center"/>
        </w:trPr>
        <w:tc>
          <w:tcPr>
            <w:tcW w:w="1048"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互动回应情况</w:t>
            </w: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政务咨询类栏目</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1.渠道建设情况；</w:t>
            </w:r>
            <w:r>
              <w:rPr>
                <w:kern w:val="0"/>
                <w:sz w:val="20"/>
              </w:rPr>
              <w:br w:type="textWrapping"/>
            </w:r>
            <w:r>
              <w:rPr>
                <w:kern w:val="0"/>
                <w:sz w:val="20"/>
              </w:rPr>
              <w:t>2.栏目使用情况。</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1.未开设栏目的，扣5分；</w:t>
            </w:r>
            <w:r>
              <w:rPr>
                <w:kern w:val="0"/>
                <w:sz w:val="20"/>
              </w:rPr>
              <w:br w:type="textWrapping"/>
            </w:r>
            <w:r>
              <w:rPr>
                <w:kern w:val="0"/>
                <w:sz w:val="20"/>
              </w:rPr>
              <w:t>2.开设了栏目，但监测时间点前1年内栏目中无任何有效信件、留言的，扣5分。</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调查征集类栏目</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1.渠道建设情况；</w:t>
            </w:r>
            <w:r>
              <w:rPr>
                <w:kern w:val="0"/>
                <w:sz w:val="20"/>
              </w:rPr>
              <w:br w:type="textWrapping"/>
            </w:r>
            <w:r>
              <w:rPr>
                <w:kern w:val="0"/>
                <w:sz w:val="20"/>
              </w:rPr>
              <w:t>2.调查征集活动开展情况。</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1.未开设栏目的，扣5分；</w:t>
            </w:r>
            <w:r>
              <w:rPr>
                <w:kern w:val="0"/>
                <w:sz w:val="20"/>
              </w:rPr>
              <w:br w:type="textWrapping"/>
            </w:r>
            <w:r>
              <w:rPr>
                <w:kern w:val="0"/>
                <w:sz w:val="20"/>
              </w:rPr>
              <w:t>2.开设了栏目，但栏目不可用或监测时间点前1年内未开展调查征集活动的，扣5分；</w:t>
            </w:r>
            <w:r>
              <w:rPr>
                <w:kern w:val="0"/>
                <w:sz w:val="20"/>
              </w:rPr>
              <w:br w:type="textWrapping"/>
            </w:r>
            <w:r>
              <w:rPr>
                <w:kern w:val="0"/>
                <w:sz w:val="20"/>
              </w:rPr>
              <w:t>3.开设了栏目且监测时间点前1年内开展了调查征集活动，但开展次数较少的（地方政府及国务院各部门门户网站少于6次，其他政府网站少于3次），扣3分。</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40"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互动访谈类栏目</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互动访谈开展情况。</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1.开设了栏目，但栏目不可用或监测时间点前1年内未开展互动访谈活动的，扣5分；</w:t>
            </w:r>
            <w:r>
              <w:rPr>
                <w:kern w:val="0"/>
                <w:sz w:val="20"/>
              </w:rPr>
              <w:br w:type="textWrapping"/>
            </w:r>
            <w:r>
              <w:rPr>
                <w:kern w:val="0"/>
                <w:sz w:val="20"/>
              </w:rPr>
              <w:t>2.开设了栏目且监测时间点前1年内开展了互动访谈活动，但开展次数较少的（地方政府及国务院各部门门户网站少于6次，其他政府网站少于3次），扣3分。</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061" w:hRule="atLeast"/>
          <w:jc w:val="center"/>
        </w:trPr>
        <w:tc>
          <w:tcPr>
            <w:tcW w:w="1048" w:type="dxa"/>
            <w:vMerge w:val="restart"/>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服务实用情况</w:t>
            </w: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办事指南</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办事指南要素的完整性、准确性。</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1.办事指南要素类别缺失的（要素类别包括事项名称、设定依据、申请条件、办理材料、办理地点、办理时间、联系电话、办理流程等），每发现一类扣2分；</w:t>
            </w:r>
            <w:r>
              <w:rPr>
                <w:kern w:val="0"/>
                <w:sz w:val="20"/>
              </w:rPr>
              <w:br w:type="textWrapping"/>
            </w:r>
            <w:r>
              <w:rPr>
                <w:kern w:val="0"/>
                <w:sz w:val="20"/>
              </w:rPr>
              <w:t>2.办事指南要素内容不准确的，每发现一项扣1分。</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26"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附件下载</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所需的办事表格、文件附件等资料能否正常下载。</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1.办事指南中提及的表格和附件未提供下载的，每发现一次扣1分；</w:t>
            </w:r>
            <w:r>
              <w:rPr>
                <w:kern w:val="0"/>
                <w:sz w:val="20"/>
              </w:rPr>
              <w:br w:type="textWrapping"/>
            </w:r>
            <w:r>
              <w:rPr>
                <w:kern w:val="0"/>
                <w:sz w:val="20"/>
              </w:rPr>
              <w:t>2.办事表格、文件附件等无法下载的，每发现一次扣1分。</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14" w:hRule="atLeast"/>
          <w:jc w:val="center"/>
        </w:trPr>
        <w:tc>
          <w:tcPr>
            <w:tcW w:w="1048" w:type="dxa"/>
            <w:vMerge w:val="continue"/>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rPr>
                <w:kern w:val="0"/>
              </w:rPr>
            </w:pPr>
          </w:p>
        </w:tc>
        <w:tc>
          <w:tcPr>
            <w:tcW w:w="119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rPr>
            </w:pPr>
            <w:r>
              <w:rPr>
                <w:kern w:val="0"/>
                <w:sz w:val="20"/>
              </w:rPr>
              <w:t>在线系统</w:t>
            </w:r>
          </w:p>
        </w:tc>
        <w:tc>
          <w:tcPr>
            <w:tcW w:w="263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在线申报和查询系统能否正常访问。</w:t>
            </w:r>
          </w:p>
        </w:tc>
        <w:tc>
          <w:tcPr>
            <w:tcW w:w="36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rPr>
                <w:kern w:val="0"/>
              </w:rPr>
            </w:pPr>
            <w:r>
              <w:rPr>
                <w:kern w:val="0"/>
                <w:sz w:val="20"/>
              </w:rPr>
              <w:t>在线申报或查询系统不能访问的，每发现一个扣3分。</w:t>
            </w:r>
          </w:p>
        </w:tc>
        <w:tc>
          <w:tcPr>
            <w:tcW w:w="115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pacing w:line="420" w:lineRule="atLeast"/>
              <w:jc w:val="center"/>
              <w:rPr>
                <w:kern w:val="0"/>
                <w:sz w:val="20"/>
              </w:rPr>
            </w:pPr>
            <w:r>
              <w:rPr>
                <w:rFonts w:hint="eastAsia"/>
                <w:kern w:val="0"/>
                <w:sz w:val="20"/>
              </w:rPr>
              <w:t>人工检查</w:t>
            </w:r>
          </w:p>
        </w:tc>
      </w:tr>
    </w:tbl>
    <w:p>
      <w:pPr>
        <w:pStyle w:val="2"/>
        <w:shd w:val="clear" w:color="auto" w:fill="FFFFFF"/>
        <w:spacing w:before="0" w:beforeAutospacing="0" w:after="0" w:afterAutospacing="0" w:line="580" w:lineRule="exact"/>
        <w:ind w:firstLine="600"/>
        <w:rPr>
          <w:rFonts w:ascii="黑体" w:hAnsi="黑体" w:eastAsia="黑体" w:cs="仿宋_GB2312"/>
          <w:kern w:val="2"/>
          <w:sz w:val="32"/>
          <w:szCs w:val="32"/>
        </w:rPr>
      </w:pPr>
      <w:bookmarkStart w:id="0" w:name="_Toc12282897"/>
      <w:r>
        <w:rPr>
          <w:rFonts w:hint="eastAsia" w:ascii="黑体" w:hAnsi="黑体" w:eastAsia="黑体" w:cs="仿宋_GB2312"/>
          <w:kern w:val="2"/>
          <w:sz w:val="32"/>
          <w:szCs w:val="32"/>
        </w:rPr>
        <w:t>政府网站检查指标、监管工作年度考核指标</w:t>
      </w:r>
      <w:bookmarkEnd w:id="0"/>
      <w:r>
        <w:rPr>
          <w:rFonts w:hint="eastAsia" w:ascii="黑体" w:hAnsi="黑体" w:eastAsia="黑体" w:cs="仿宋_GB2312"/>
          <w:kern w:val="2"/>
          <w:sz w:val="32"/>
          <w:szCs w:val="32"/>
        </w:rPr>
        <w:t>及检查方式</w:t>
      </w:r>
    </w:p>
    <w:p>
      <w:pPr>
        <w:numPr>
          <w:ilvl w:val="0"/>
          <w:numId w:val="2"/>
        </w:numPr>
        <w:spacing w:before="156" w:beforeLines="50" w:after="93" w:afterLines="30"/>
        <w:rPr>
          <w:b/>
        </w:rPr>
      </w:pPr>
      <w:r>
        <w:rPr>
          <w:b/>
        </w:rPr>
        <w:t>单项否决</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6"/>
        <w:gridCol w:w="1883"/>
        <w:gridCol w:w="5113"/>
        <w:gridCol w:w="1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7" w:hRule="atLeast"/>
          <w:tblHeader/>
          <w:jc w:val="center"/>
        </w:trPr>
        <w:tc>
          <w:tcPr>
            <w:tcW w:w="1376" w:type="dxa"/>
            <w:noWrap w:val="0"/>
            <w:vAlign w:val="center"/>
          </w:tcPr>
          <w:p>
            <w:pPr>
              <w:spacing w:afterAutospacing="1" w:line="30" w:lineRule="atLeast"/>
              <w:jc w:val="center"/>
            </w:pPr>
            <w:r>
              <w:rPr>
                <w:b/>
                <w:color w:val="333333"/>
                <w:sz w:val="20"/>
                <w:lang w:bidi="ar"/>
              </w:rPr>
              <w:t>检查对象</w:t>
            </w:r>
          </w:p>
        </w:tc>
        <w:tc>
          <w:tcPr>
            <w:tcW w:w="1883" w:type="dxa"/>
            <w:noWrap w:val="0"/>
            <w:vAlign w:val="center"/>
          </w:tcPr>
          <w:p>
            <w:pPr>
              <w:spacing w:afterAutospacing="1" w:line="30" w:lineRule="atLeast"/>
              <w:jc w:val="center"/>
            </w:pPr>
            <w:r>
              <w:rPr>
                <w:b/>
                <w:color w:val="333333"/>
                <w:sz w:val="20"/>
                <w:lang w:bidi="ar"/>
              </w:rPr>
              <w:t>指标</w:t>
            </w:r>
          </w:p>
        </w:tc>
        <w:tc>
          <w:tcPr>
            <w:tcW w:w="5113" w:type="dxa"/>
            <w:noWrap w:val="0"/>
            <w:vAlign w:val="center"/>
          </w:tcPr>
          <w:p>
            <w:pPr>
              <w:spacing w:afterAutospacing="1" w:line="30" w:lineRule="atLeast"/>
              <w:jc w:val="center"/>
            </w:pPr>
            <w:r>
              <w:rPr>
                <w:b/>
                <w:color w:val="333333"/>
                <w:sz w:val="20"/>
                <w:lang w:bidi="ar"/>
              </w:rPr>
              <w:t>评分细则</w:t>
            </w:r>
          </w:p>
        </w:tc>
        <w:tc>
          <w:tcPr>
            <w:tcW w:w="1368" w:type="dxa"/>
            <w:noWrap w:val="0"/>
            <w:vAlign w:val="top"/>
          </w:tcPr>
          <w:p>
            <w:pPr>
              <w:spacing w:after="100" w:afterAutospacing="1" w:line="30" w:lineRule="atLeast"/>
              <w:jc w:val="center"/>
              <w:rPr>
                <w:b/>
                <w:color w:val="333333"/>
                <w:sz w:val="20"/>
                <w:lang w:bidi="ar"/>
              </w:rPr>
            </w:pPr>
            <w:r>
              <w:rPr>
                <w:rFonts w:hint="eastAsia"/>
                <w:b/>
                <w:color w:val="333333"/>
                <w:sz w:val="20"/>
                <w:lang w:bidi="ar"/>
              </w:rPr>
              <w:t>检查方式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35" w:hRule="atLeast"/>
          <w:jc w:val="center"/>
        </w:trPr>
        <w:tc>
          <w:tcPr>
            <w:tcW w:w="1376" w:type="dxa"/>
            <w:vMerge w:val="restart"/>
            <w:noWrap w:val="0"/>
            <w:vAlign w:val="center"/>
          </w:tcPr>
          <w:p>
            <w:pPr>
              <w:spacing w:afterAutospacing="1" w:line="30" w:lineRule="atLeast"/>
              <w:jc w:val="center"/>
            </w:pPr>
            <w:r>
              <w:rPr>
                <w:color w:val="333333"/>
                <w:sz w:val="20"/>
                <w:lang w:bidi="ar"/>
              </w:rPr>
              <w:t>政府网站</w:t>
            </w:r>
          </w:p>
        </w:tc>
        <w:tc>
          <w:tcPr>
            <w:tcW w:w="1883" w:type="dxa"/>
            <w:noWrap w:val="0"/>
            <w:vAlign w:val="center"/>
          </w:tcPr>
          <w:p>
            <w:pPr>
              <w:spacing w:afterAutospacing="1" w:line="30" w:lineRule="atLeast"/>
            </w:pPr>
            <w:r>
              <w:rPr>
                <w:color w:val="333333"/>
                <w:sz w:val="20"/>
                <w:lang w:bidi="ar"/>
              </w:rPr>
              <w:t>安全、泄密事故等严重问题</w:t>
            </w:r>
          </w:p>
        </w:tc>
        <w:tc>
          <w:tcPr>
            <w:tcW w:w="5113" w:type="dxa"/>
            <w:noWrap w:val="0"/>
            <w:vAlign w:val="center"/>
          </w:tcPr>
          <w:p>
            <w:pPr>
              <w:spacing w:afterAutospacing="1" w:line="30" w:lineRule="atLeast"/>
              <w:rPr>
                <w:sz w:val="20"/>
              </w:rPr>
            </w:pPr>
            <w:r>
              <w:rPr>
                <w:color w:val="333333"/>
                <w:sz w:val="20"/>
                <w:lang w:bidi="ar"/>
              </w:rPr>
              <w:t>1.出现严重表述错误。</w:t>
            </w:r>
            <w:r>
              <w:rPr>
                <w:color w:val="333333"/>
                <w:sz w:val="20"/>
                <w:lang w:bidi="ar"/>
              </w:rPr>
              <w:br w:type="textWrapping"/>
            </w:r>
            <w:r>
              <w:rPr>
                <w:color w:val="333333"/>
                <w:sz w:val="20"/>
                <w:lang w:bidi="ar"/>
              </w:rPr>
              <w:t>2.泄露国家秘密。</w:t>
            </w:r>
            <w:r>
              <w:rPr>
                <w:color w:val="333333"/>
                <w:sz w:val="20"/>
                <w:lang w:bidi="ar"/>
              </w:rPr>
              <w:br w:type="textWrapping"/>
            </w:r>
            <w:r>
              <w:rPr>
                <w:color w:val="333333"/>
                <w:sz w:val="20"/>
                <w:lang w:bidi="ar"/>
              </w:rPr>
              <w:t>3.发布或链接反动、暴力、色情等内容。</w:t>
            </w:r>
            <w:r>
              <w:rPr>
                <w:color w:val="333333"/>
                <w:sz w:val="20"/>
                <w:lang w:bidi="ar"/>
              </w:rPr>
              <w:br w:type="textWrapping"/>
            </w:r>
            <w:r>
              <w:rPr>
                <w:color w:val="333333"/>
                <w:sz w:val="20"/>
                <w:lang w:bidi="ar"/>
              </w:rPr>
              <w:t>4.对安全攻击（如页面被挂马、内容被篡改等）没有及时有效处置造成严重安全事故。</w:t>
            </w:r>
            <w:r>
              <w:rPr>
                <w:color w:val="333333"/>
                <w:sz w:val="20"/>
                <w:lang w:bidi="ar"/>
              </w:rPr>
              <w:br w:type="textWrapping"/>
            </w:r>
            <w:r>
              <w:rPr>
                <w:color w:val="333333"/>
                <w:sz w:val="20"/>
                <w:lang w:bidi="ar"/>
              </w:rPr>
              <w:t>5.存在弄虚作假行为（如伪造发稿日期等）。</w:t>
            </w:r>
            <w:r>
              <w:rPr>
                <w:color w:val="333333"/>
                <w:sz w:val="20"/>
                <w:lang w:bidi="ar"/>
              </w:rPr>
              <w:br w:type="textWrapping"/>
            </w:r>
            <w:r>
              <w:rPr>
                <w:color w:val="333333"/>
                <w:sz w:val="20"/>
                <w:lang w:bidi="ar"/>
              </w:rPr>
              <w:t>6.因网站建设管理工作不当引发严重负面舆情。</w:t>
            </w:r>
            <w:r>
              <w:rPr>
                <w:color w:val="333333"/>
                <w:sz w:val="20"/>
                <w:lang w:bidi="ar"/>
              </w:rPr>
              <w:br w:type="textWrapping"/>
            </w:r>
            <w:r>
              <w:rPr>
                <w:color w:val="333333"/>
                <w:sz w:val="20"/>
                <w:lang w:bidi="ar"/>
              </w:rPr>
              <w:t>上述情况出现任意一种，即单项否决。</w:t>
            </w:r>
          </w:p>
        </w:tc>
        <w:tc>
          <w:tcPr>
            <w:tcW w:w="1368" w:type="dxa"/>
            <w:noWrap w:val="0"/>
            <w:vAlign w:val="center"/>
          </w:tcPr>
          <w:p>
            <w:pPr>
              <w:spacing w:line="420" w:lineRule="atLeast"/>
              <w:jc w:val="center"/>
              <w:rPr>
                <w:kern w:val="0"/>
                <w:sz w:val="20"/>
              </w:rPr>
            </w:pPr>
            <w:r>
              <w:rPr>
                <w:rFonts w:hint="eastAsia"/>
                <w:kern w:val="0"/>
                <w:sz w:val="20"/>
              </w:rPr>
              <w:t>机器检查</w:t>
            </w:r>
          </w:p>
          <w:p>
            <w:pPr>
              <w:spacing w:line="420" w:lineRule="atLeast"/>
              <w:jc w:val="center"/>
              <w:rPr>
                <w:kern w:val="0"/>
                <w:sz w:val="20"/>
              </w:rPr>
            </w:pPr>
            <w:r>
              <w:rPr>
                <w:rFonts w:hint="eastAsia"/>
                <w:kern w:val="0"/>
                <w:sz w:val="20"/>
              </w:rPr>
              <w:t>+</w:t>
            </w:r>
          </w:p>
          <w:p>
            <w:pPr>
              <w:spacing w:afterAutospacing="1" w:line="30" w:lineRule="atLeast"/>
              <w:jc w:val="center"/>
              <w:rPr>
                <w:color w:val="333333"/>
                <w:sz w:val="20"/>
                <w:lang w:bidi="ar"/>
              </w:rPr>
            </w:pPr>
            <w:r>
              <w:rPr>
                <w:rFonts w:hint="eastAsia"/>
                <w:kern w:val="0"/>
                <w:sz w:val="20"/>
              </w:rPr>
              <w:t>人工检查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1376" w:type="dxa"/>
            <w:vMerge w:val="continue"/>
            <w:noWrap w:val="0"/>
            <w:vAlign w:val="center"/>
          </w:tcPr>
          <w:p>
            <w:pPr>
              <w:rPr>
                <w:color w:val="333333"/>
              </w:rPr>
            </w:pPr>
          </w:p>
        </w:tc>
        <w:tc>
          <w:tcPr>
            <w:tcW w:w="1883" w:type="dxa"/>
            <w:noWrap w:val="0"/>
            <w:vAlign w:val="center"/>
          </w:tcPr>
          <w:p>
            <w:pPr>
              <w:spacing w:afterAutospacing="1" w:line="30" w:lineRule="atLeast"/>
              <w:jc w:val="center"/>
            </w:pPr>
            <w:r>
              <w:rPr>
                <w:color w:val="333333"/>
                <w:sz w:val="20"/>
                <w:lang w:bidi="ar"/>
              </w:rPr>
              <w:t>站点无法访问</w:t>
            </w:r>
          </w:p>
        </w:tc>
        <w:tc>
          <w:tcPr>
            <w:tcW w:w="5113" w:type="dxa"/>
            <w:noWrap w:val="0"/>
            <w:vAlign w:val="center"/>
          </w:tcPr>
          <w:p>
            <w:pPr>
              <w:spacing w:afterAutospacing="1" w:line="30" w:lineRule="atLeast"/>
            </w:pPr>
            <w:r>
              <w:rPr>
                <w:color w:val="333333"/>
                <w:sz w:val="20"/>
                <w:lang w:bidi="ar"/>
              </w:rPr>
              <w:t>监测1周，每天间隔性访问20次以上，超过（含）15秒网站仍打不开的次数累计占比超过（含）5%，即单项否决。</w:t>
            </w:r>
          </w:p>
        </w:tc>
        <w:tc>
          <w:tcPr>
            <w:tcW w:w="1368" w:type="dxa"/>
            <w:noWrap w:val="0"/>
            <w:vAlign w:val="center"/>
          </w:tcPr>
          <w:p>
            <w:pPr>
              <w:spacing w:afterAutospacing="1" w:line="30" w:lineRule="atLeast"/>
              <w:jc w:val="center"/>
              <w:rPr>
                <w:color w:val="333333"/>
                <w:sz w:val="20"/>
                <w:lang w:bidi="ar"/>
              </w:rPr>
            </w:pPr>
            <w:r>
              <w:rPr>
                <w:rFonts w:hint="eastAsia"/>
                <w:color w:val="333333"/>
                <w:sz w:val="20"/>
                <w:lang w:bidi="ar"/>
              </w:rPr>
              <w:t>机器检查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76" w:type="dxa"/>
            <w:vMerge w:val="continue"/>
            <w:noWrap w:val="0"/>
            <w:vAlign w:val="center"/>
          </w:tcPr>
          <w:p>
            <w:pPr>
              <w:rPr>
                <w:color w:val="333333"/>
              </w:rPr>
            </w:pPr>
          </w:p>
        </w:tc>
        <w:tc>
          <w:tcPr>
            <w:tcW w:w="1883" w:type="dxa"/>
            <w:noWrap w:val="0"/>
            <w:vAlign w:val="center"/>
          </w:tcPr>
          <w:p>
            <w:pPr>
              <w:spacing w:afterAutospacing="1" w:line="30" w:lineRule="atLeast"/>
              <w:jc w:val="center"/>
            </w:pPr>
            <w:r>
              <w:rPr>
                <w:color w:val="333333"/>
                <w:sz w:val="20"/>
                <w:lang w:bidi="ar"/>
              </w:rPr>
              <w:t>首页不更新</w:t>
            </w:r>
          </w:p>
        </w:tc>
        <w:tc>
          <w:tcPr>
            <w:tcW w:w="5113" w:type="dxa"/>
            <w:noWrap w:val="0"/>
            <w:vAlign w:val="center"/>
          </w:tcPr>
          <w:p>
            <w:pPr>
              <w:spacing w:afterAutospacing="1" w:line="30" w:lineRule="atLeast"/>
              <w:rPr>
                <w:sz w:val="20"/>
              </w:rPr>
            </w:pPr>
            <w:r>
              <w:rPr>
                <w:color w:val="333333"/>
                <w:sz w:val="20"/>
                <w:lang w:bidi="ar"/>
              </w:rPr>
              <w:t>监测2周，首页无信息更新的，即单项否决。</w:t>
            </w:r>
            <w:r>
              <w:rPr>
                <w:color w:val="333333"/>
                <w:sz w:val="20"/>
                <w:lang w:bidi="ar"/>
              </w:rPr>
              <w:br w:type="textWrapping"/>
            </w:r>
            <w:r>
              <w:rPr>
                <w:color w:val="333333"/>
                <w:sz w:val="20"/>
                <w:lang w:bidi="ar"/>
              </w:rPr>
              <w:t>如首页仅为网站栏目导航入口，所有二级页面无信息更新的，即单项否决。</w:t>
            </w:r>
            <w:r>
              <w:rPr>
                <w:color w:val="333333"/>
                <w:sz w:val="20"/>
                <w:lang w:bidi="ar"/>
              </w:rPr>
              <w:br w:type="textWrapping"/>
            </w:r>
            <w:r>
              <w:rPr>
                <w:color w:val="333333"/>
                <w:sz w:val="20"/>
                <w:lang w:bidi="ar"/>
              </w:rPr>
              <w:t>（注：稿件发布页未注明发布时间的视为不更新，下同。）</w:t>
            </w:r>
          </w:p>
        </w:tc>
        <w:tc>
          <w:tcPr>
            <w:tcW w:w="1368" w:type="dxa"/>
            <w:noWrap w:val="0"/>
            <w:vAlign w:val="center"/>
          </w:tcPr>
          <w:p>
            <w:pPr>
              <w:spacing w:afterAutospacing="1" w:line="30" w:lineRule="atLeast"/>
              <w:jc w:val="center"/>
              <w:rPr>
                <w:color w:val="333333"/>
                <w:sz w:val="20"/>
                <w:lang w:bidi="ar"/>
              </w:rPr>
            </w:pPr>
            <w:r>
              <w:rPr>
                <w:rFonts w:hint="eastAsia"/>
                <w:color w:val="333333"/>
                <w:sz w:val="20"/>
                <w:lang w:bidi="ar"/>
              </w:rPr>
              <w:t>人工检查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83" w:hRule="atLeast"/>
          <w:jc w:val="center"/>
        </w:trPr>
        <w:tc>
          <w:tcPr>
            <w:tcW w:w="1376" w:type="dxa"/>
            <w:vMerge w:val="continue"/>
            <w:noWrap w:val="0"/>
            <w:vAlign w:val="center"/>
          </w:tcPr>
          <w:p>
            <w:pPr>
              <w:rPr>
                <w:color w:val="333333"/>
              </w:rPr>
            </w:pPr>
          </w:p>
        </w:tc>
        <w:tc>
          <w:tcPr>
            <w:tcW w:w="1883" w:type="dxa"/>
            <w:noWrap w:val="0"/>
            <w:vAlign w:val="center"/>
          </w:tcPr>
          <w:p>
            <w:pPr>
              <w:spacing w:afterAutospacing="1" w:line="30" w:lineRule="atLeast"/>
              <w:jc w:val="center"/>
            </w:pPr>
            <w:r>
              <w:rPr>
                <w:color w:val="333333"/>
                <w:sz w:val="20"/>
                <w:lang w:bidi="ar"/>
              </w:rPr>
              <w:t>栏目不更新</w:t>
            </w:r>
          </w:p>
        </w:tc>
        <w:tc>
          <w:tcPr>
            <w:tcW w:w="5113" w:type="dxa"/>
            <w:noWrap w:val="0"/>
            <w:vAlign w:val="center"/>
          </w:tcPr>
          <w:p>
            <w:pPr>
              <w:spacing w:afterAutospacing="1" w:line="30" w:lineRule="atLeast"/>
              <w:rPr>
                <w:sz w:val="20"/>
              </w:rPr>
            </w:pPr>
            <w:r>
              <w:rPr>
                <w:color w:val="333333"/>
                <w:sz w:val="20"/>
                <w:lang w:bidi="ar"/>
              </w:rPr>
              <w:t>1.监测时间点前2周内的动态、要闻类栏目，以及监测时间点前6个月内的通知公告、政策文件类一级栏目，累计超过（含）5个未更新。</w:t>
            </w:r>
            <w:r>
              <w:rPr>
                <w:color w:val="333333"/>
                <w:sz w:val="20"/>
                <w:lang w:bidi="ar"/>
              </w:rPr>
              <w:br w:type="textWrapping"/>
            </w:r>
            <w:r>
              <w:rPr>
                <w:color w:val="333333"/>
                <w:sz w:val="20"/>
                <w:lang w:bidi="ar"/>
              </w:rPr>
              <w:t>2.应更新但长期未更新的栏目数量超过（含）10个。</w:t>
            </w:r>
            <w:r>
              <w:rPr>
                <w:color w:val="333333"/>
                <w:sz w:val="20"/>
                <w:lang w:bidi="ar"/>
              </w:rPr>
              <w:br w:type="textWrapping"/>
            </w:r>
            <w:r>
              <w:rPr>
                <w:color w:val="333333"/>
                <w:sz w:val="20"/>
                <w:lang w:bidi="ar"/>
              </w:rPr>
              <w:t>3.空白栏目数量超过（含）5个。</w:t>
            </w:r>
            <w:r>
              <w:rPr>
                <w:color w:val="333333"/>
                <w:sz w:val="20"/>
                <w:lang w:bidi="ar"/>
              </w:rPr>
              <w:br w:type="textWrapping"/>
            </w:r>
            <w:r>
              <w:rPr>
                <w:color w:val="333333"/>
                <w:sz w:val="20"/>
                <w:lang w:bidi="ar"/>
              </w:rPr>
              <w:t>上述情况出现任意一种，即单项否决。</w:t>
            </w:r>
          </w:p>
        </w:tc>
        <w:tc>
          <w:tcPr>
            <w:tcW w:w="1368" w:type="dxa"/>
            <w:noWrap w:val="0"/>
            <w:vAlign w:val="center"/>
          </w:tcPr>
          <w:p>
            <w:pPr>
              <w:spacing w:afterAutospacing="1" w:line="30" w:lineRule="atLeast"/>
              <w:jc w:val="center"/>
              <w:rPr>
                <w:color w:val="333333"/>
                <w:sz w:val="20"/>
                <w:lang w:bidi="ar"/>
              </w:rPr>
            </w:pPr>
            <w:r>
              <w:rPr>
                <w:rFonts w:hint="eastAsia"/>
                <w:color w:val="333333"/>
                <w:sz w:val="20"/>
                <w:lang w:bidi="ar"/>
              </w:rPr>
              <w:t>人工检查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02" w:hRule="atLeast"/>
          <w:jc w:val="center"/>
        </w:trPr>
        <w:tc>
          <w:tcPr>
            <w:tcW w:w="1376" w:type="dxa"/>
            <w:vMerge w:val="continue"/>
            <w:noWrap w:val="0"/>
            <w:vAlign w:val="center"/>
          </w:tcPr>
          <w:p>
            <w:pPr>
              <w:rPr>
                <w:color w:val="333333"/>
              </w:rPr>
            </w:pPr>
          </w:p>
        </w:tc>
        <w:tc>
          <w:tcPr>
            <w:tcW w:w="1883" w:type="dxa"/>
            <w:noWrap w:val="0"/>
            <w:vAlign w:val="center"/>
          </w:tcPr>
          <w:p>
            <w:pPr>
              <w:spacing w:afterAutospacing="1" w:line="30" w:lineRule="atLeast"/>
              <w:jc w:val="center"/>
            </w:pPr>
            <w:r>
              <w:rPr>
                <w:color w:val="333333"/>
                <w:sz w:val="20"/>
                <w:lang w:bidi="ar"/>
              </w:rPr>
              <w:t>互动回应差</w:t>
            </w:r>
          </w:p>
        </w:tc>
        <w:tc>
          <w:tcPr>
            <w:tcW w:w="5113" w:type="dxa"/>
            <w:noWrap w:val="0"/>
            <w:vAlign w:val="center"/>
          </w:tcPr>
          <w:p>
            <w:pPr>
              <w:spacing w:afterAutospacing="1" w:line="30" w:lineRule="atLeast"/>
              <w:rPr>
                <w:sz w:val="20"/>
              </w:rPr>
            </w:pPr>
            <w:r>
              <w:rPr>
                <w:color w:val="333333"/>
                <w:sz w:val="20"/>
                <w:lang w:bidi="ar"/>
              </w:rPr>
              <w:t>1.未提供网上有效咨询建言渠道（网上信访、纪检举报等专门渠道除外）。</w:t>
            </w:r>
            <w:r>
              <w:rPr>
                <w:color w:val="333333"/>
                <w:sz w:val="20"/>
                <w:lang w:bidi="ar"/>
              </w:rPr>
              <w:br w:type="textWrapping"/>
            </w:r>
            <w:r>
              <w:rPr>
                <w:color w:val="333333"/>
                <w:sz w:val="20"/>
                <w:lang w:bidi="ar"/>
              </w:rPr>
              <w:t>2.监测时间点前1年内，对网民留言应及时答复处理的政务咨询类栏目（在线访谈、调查征集、网上信访、纪检举报类栏目除外）存在超过3个月未回应有效留言的现象。</w:t>
            </w:r>
            <w:r>
              <w:rPr>
                <w:color w:val="333333"/>
                <w:sz w:val="20"/>
                <w:lang w:bidi="ar"/>
              </w:rPr>
              <w:br w:type="textWrapping"/>
            </w:r>
            <w:r>
              <w:rPr>
                <w:color w:val="333333"/>
                <w:sz w:val="20"/>
                <w:lang w:bidi="ar"/>
              </w:rPr>
              <w:t>上述情况出现任意一种，即单项否决。</w:t>
            </w:r>
          </w:p>
        </w:tc>
        <w:tc>
          <w:tcPr>
            <w:tcW w:w="1368" w:type="dxa"/>
            <w:noWrap w:val="0"/>
            <w:vAlign w:val="center"/>
          </w:tcPr>
          <w:p>
            <w:pPr>
              <w:spacing w:afterAutospacing="1" w:line="30" w:lineRule="atLeast"/>
              <w:jc w:val="center"/>
              <w:rPr>
                <w:color w:val="333333"/>
                <w:sz w:val="20"/>
                <w:lang w:bidi="ar"/>
              </w:rPr>
            </w:pPr>
            <w:r>
              <w:rPr>
                <w:rFonts w:hint="eastAsia"/>
                <w:color w:val="333333"/>
                <w:sz w:val="20"/>
                <w:lang w:bidi="ar"/>
              </w:rPr>
              <w:t>人工检查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7" w:hRule="atLeast"/>
          <w:jc w:val="center"/>
        </w:trPr>
        <w:tc>
          <w:tcPr>
            <w:tcW w:w="1376" w:type="dxa"/>
            <w:vMerge w:val="continue"/>
            <w:noWrap w:val="0"/>
            <w:vAlign w:val="center"/>
          </w:tcPr>
          <w:p>
            <w:pPr>
              <w:rPr>
                <w:color w:val="333333"/>
              </w:rPr>
            </w:pPr>
          </w:p>
        </w:tc>
        <w:tc>
          <w:tcPr>
            <w:tcW w:w="1883" w:type="dxa"/>
            <w:noWrap w:val="0"/>
            <w:vAlign w:val="center"/>
          </w:tcPr>
          <w:p>
            <w:pPr>
              <w:spacing w:afterAutospacing="1" w:line="30" w:lineRule="atLeast"/>
              <w:jc w:val="center"/>
            </w:pPr>
            <w:r>
              <w:rPr>
                <w:color w:val="333333"/>
                <w:sz w:val="20"/>
                <w:lang w:bidi="ar"/>
              </w:rPr>
              <w:t>服务不实用</w:t>
            </w:r>
          </w:p>
        </w:tc>
        <w:tc>
          <w:tcPr>
            <w:tcW w:w="5113" w:type="dxa"/>
            <w:noWrap w:val="0"/>
            <w:vAlign w:val="center"/>
          </w:tcPr>
          <w:p>
            <w:pPr>
              <w:spacing w:afterAutospacing="1" w:line="30" w:lineRule="atLeast"/>
              <w:rPr>
                <w:sz w:val="20"/>
              </w:rPr>
            </w:pPr>
            <w:r>
              <w:rPr>
                <w:color w:val="333333"/>
                <w:sz w:val="20"/>
                <w:lang w:bidi="ar"/>
              </w:rPr>
              <w:t>1.未提供办事服务。</w:t>
            </w:r>
            <w:r>
              <w:rPr>
                <w:color w:val="333333"/>
                <w:sz w:val="20"/>
                <w:lang w:bidi="ar"/>
              </w:rPr>
              <w:br w:type="textWrapping"/>
            </w:r>
            <w:r>
              <w:rPr>
                <w:color w:val="333333"/>
                <w:sz w:val="20"/>
                <w:lang w:bidi="ar"/>
              </w:rPr>
              <w:t>2.办事指南重点要素类别（包括事项名称、设定依据、申请条件、办理材料、办理地点、办理机构、收费标准、办理时间、联系电话、办理流程）缺失4类及以上的事项数量超过（含）5个。</w:t>
            </w:r>
            <w:r>
              <w:rPr>
                <w:color w:val="333333"/>
                <w:sz w:val="20"/>
                <w:lang w:bidi="ar"/>
              </w:rPr>
              <w:br w:type="textWrapping"/>
            </w:r>
            <w:r>
              <w:rPr>
                <w:color w:val="333333"/>
                <w:sz w:val="20"/>
                <w:lang w:bidi="ar"/>
              </w:rPr>
              <w:t>3.事项总数不足5个的，每个事项办事指南重点要素类别（包括事项名称、设定依据、申请条件、办理材料、办理地点、办理机构、收费标准、办理时间、联系电话、办理流程）均缺失4类及以上。</w:t>
            </w:r>
            <w:r>
              <w:rPr>
                <w:color w:val="333333"/>
                <w:sz w:val="20"/>
                <w:lang w:bidi="ar"/>
              </w:rPr>
              <w:br w:type="textWrapping"/>
            </w:r>
            <w:r>
              <w:rPr>
                <w:color w:val="333333"/>
                <w:sz w:val="20"/>
                <w:lang w:bidi="ar"/>
              </w:rPr>
              <w:t>上述情况出现任意一种，即单项否决。</w:t>
            </w:r>
            <w:r>
              <w:rPr>
                <w:color w:val="333333"/>
                <w:sz w:val="20"/>
                <w:lang w:bidi="ar"/>
              </w:rPr>
              <w:br w:type="textWrapping"/>
            </w:r>
            <w:r>
              <w:rPr>
                <w:color w:val="333333"/>
                <w:sz w:val="20"/>
                <w:lang w:bidi="ar"/>
              </w:rPr>
              <w:t>（注：对没有对外服务职能的部门，不检查其网站该项指标。）</w:t>
            </w:r>
          </w:p>
        </w:tc>
        <w:tc>
          <w:tcPr>
            <w:tcW w:w="1368" w:type="dxa"/>
            <w:noWrap w:val="0"/>
            <w:vAlign w:val="center"/>
          </w:tcPr>
          <w:p>
            <w:pPr>
              <w:spacing w:after="100" w:afterAutospacing="1" w:line="30" w:lineRule="atLeast"/>
              <w:jc w:val="center"/>
              <w:rPr>
                <w:color w:val="333333"/>
                <w:sz w:val="20"/>
                <w:lang w:bidi="ar"/>
              </w:rPr>
            </w:pPr>
            <w:r>
              <w:rPr>
                <w:rFonts w:hint="eastAsia"/>
                <w:color w:val="333333"/>
                <w:sz w:val="20"/>
                <w:lang w:bidi="ar"/>
              </w:rPr>
              <w:t>人工检查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3" w:hRule="atLeast"/>
          <w:jc w:val="center"/>
        </w:trPr>
        <w:tc>
          <w:tcPr>
            <w:tcW w:w="1376" w:type="dxa"/>
            <w:vMerge w:val="restart"/>
            <w:noWrap w:val="0"/>
            <w:vAlign w:val="center"/>
          </w:tcPr>
          <w:p>
            <w:pPr>
              <w:spacing w:afterAutospacing="1" w:line="30" w:lineRule="atLeast"/>
              <w:jc w:val="center"/>
              <w:rPr>
                <w:color w:val="333333"/>
              </w:rPr>
            </w:pPr>
            <w:r>
              <w:rPr>
                <w:color w:val="333333"/>
                <w:sz w:val="20"/>
                <w:lang w:bidi="ar"/>
              </w:rPr>
              <w:t>政务新媒体</w:t>
            </w:r>
          </w:p>
        </w:tc>
        <w:tc>
          <w:tcPr>
            <w:tcW w:w="1883" w:type="dxa"/>
            <w:noWrap w:val="0"/>
            <w:vAlign w:val="center"/>
          </w:tcPr>
          <w:p>
            <w:pPr>
              <w:spacing w:afterAutospacing="1" w:line="30" w:lineRule="atLeast"/>
              <w:rPr>
                <w:color w:val="333333"/>
                <w:sz w:val="20"/>
                <w:lang w:bidi="ar"/>
              </w:rPr>
            </w:pPr>
            <w:r>
              <w:rPr>
                <w:color w:val="333333"/>
                <w:sz w:val="20"/>
                <w:lang w:bidi="ar"/>
              </w:rPr>
              <w:t>安全、泄密事故等严重问题</w:t>
            </w:r>
          </w:p>
        </w:tc>
        <w:tc>
          <w:tcPr>
            <w:tcW w:w="5113" w:type="dxa"/>
            <w:noWrap w:val="0"/>
            <w:vAlign w:val="center"/>
          </w:tcPr>
          <w:p>
            <w:pPr>
              <w:spacing w:afterAutospacing="1" w:line="30" w:lineRule="atLeast"/>
              <w:rPr>
                <w:color w:val="333333"/>
                <w:sz w:val="20"/>
                <w:lang w:bidi="ar"/>
              </w:rPr>
            </w:pPr>
            <w:r>
              <w:rPr>
                <w:color w:val="333333"/>
                <w:sz w:val="20"/>
                <w:lang w:bidi="ar"/>
              </w:rPr>
              <w:t>1.出现严重表述错误。</w:t>
            </w:r>
            <w:r>
              <w:rPr>
                <w:color w:val="333333"/>
                <w:sz w:val="20"/>
                <w:lang w:bidi="ar"/>
              </w:rPr>
              <w:br w:type="textWrapping"/>
            </w:r>
            <w:r>
              <w:rPr>
                <w:color w:val="333333"/>
                <w:sz w:val="20"/>
                <w:lang w:bidi="ar"/>
              </w:rPr>
              <w:t>2.泄露国家秘密。</w:t>
            </w:r>
            <w:r>
              <w:rPr>
                <w:color w:val="333333"/>
                <w:sz w:val="20"/>
                <w:lang w:bidi="ar"/>
              </w:rPr>
              <w:br w:type="textWrapping"/>
            </w:r>
            <w:r>
              <w:rPr>
                <w:color w:val="333333"/>
                <w:sz w:val="20"/>
                <w:lang w:bidi="ar"/>
              </w:rPr>
              <w:t>3.发布或链接反动、暴力、色情等内容。</w:t>
            </w:r>
            <w:r>
              <w:rPr>
                <w:color w:val="333333"/>
                <w:sz w:val="20"/>
                <w:lang w:bidi="ar"/>
              </w:rPr>
              <w:br w:type="textWrapping"/>
            </w:r>
            <w:r>
              <w:rPr>
                <w:color w:val="333333"/>
                <w:sz w:val="20"/>
                <w:lang w:bidi="ar"/>
              </w:rPr>
              <w:t>4.因发布内容不当引发严重负面舆情。</w:t>
            </w:r>
            <w:r>
              <w:rPr>
                <w:color w:val="333333"/>
                <w:sz w:val="20"/>
                <w:lang w:bidi="ar"/>
              </w:rPr>
              <w:br w:type="textWrapping"/>
            </w:r>
            <w:r>
              <w:rPr>
                <w:color w:val="333333"/>
                <w:sz w:val="20"/>
                <w:lang w:bidi="ar"/>
              </w:rPr>
              <w:t>上述情况出现任意一种，即单项否决。</w:t>
            </w:r>
          </w:p>
        </w:tc>
        <w:tc>
          <w:tcPr>
            <w:tcW w:w="1368" w:type="dxa"/>
            <w:noWrap w:val="0"/>
            <w:vAlign w:val="center"/>
          </w:tcPr>
          <w:p>
            <w:pPr>
              <w:spacing w:line="420" w:lineRule="atLeast"/>
              <w:jc w:val="center"/>
              <w:rPr>
                <w:kern w:val="0"/>
                <w:sz w:val="20"/>
              </w:rPr>
            </w:pPr>
            <w:r>
              <w:rPr>
                <w:rFonts w:hint="eastAsia"/>
                <w:kern w:val="0"/>
                <w:sz w:val="20"/>
              </w:rPr>
              <w:t>机器检查</w:t>
            </w:r>
          </w:p>
          <w:p>
            <w:pPr>
              <w:spacing w:line="420" w:lineRule="atLeast"/>
              <w:jc w:val="center"/>
              <w:rPr>
                <w:kern w:val="0"/>
                <w:sz w:val="20"/>
              </w:rPr>
            </w:pPr>
            <w:r>
              <w:rPr>
                <w:rFonts w:hint="eastAsia"/>
                <w:kern w:val="0"/>
                <w:sz w:val="20"/>
              </w:rPr>
              <w:t>+</w:t>
            </w:r>
          </w:p>
          <w:p>
            <w:pPr>
              <w:spacing w:afterAutospacing="1" w:line="30" w:lineRule="atLeast"/>
              <w:jc w:val="center"/>
              <w:rPr>
                <w:color w:val="333333"/>
                <w:sz w:val="20"/>
                <w:lang w:bidi="ar"/>
              </w:rPr>
            </w:pPr>
            <w:r>
              <w:rPr>
                <w:rFonts w:hint="eastAsia"/>
                <w:kern w:val="0"/>
                <w:sz w:val="20"/>
              </w:rPr>
              <w:t>人工检查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1376" w:type="dxa"/>
            <w:vMerge w:val="continue"/>
            <w:noWrap w:val="0"/>
            <w:vAlign w:val="center"/>
          </w:tcPr>
          <w:p>
            <w:pPr>
              <w:rPr>
                <w:color w:val="333333"/>
              </w:rPr>
            </w:pPr>
          </w:p>
        </w:tc>
        <w:tc>
          <w:tcPr>
            <w:tcW w:w="1883" w:type="dxa"/>
            <w:noWrap w:val="0"/>
            <w:vAlign w:val="center"/>
          </w:tcPr>
          <w:p>
            <w:pPr>
              <w:spacing w:afterAutospacing="1" w:line="30" w:lineRule="atLeast"/>
              <w:jc w:val="center"/>
              <w:rPr>
                <w:color w:val="333333"/>
                <w:sz w:val="20"/>
                <w:lang w:bidi="ar"/>
              </w:rPr>
            </w:pPr>
            <w:r>
              <w:rPr>
                <w:color w:val="333333"/>
                <w:sz w:val="20"/>
                <w:lang w:bidi="ar"/>
              </w:rPr>
              <w:t>内容不更新</w:t>
            </w:r>
          </w:p>
        </w:tc>
        <w:tc>
          <w:tcPr>
            <w:tcW w:w="5113" w:type="dxa"/>
            <w:noWrap w:val="0"/>
            <w:vAlign w:val="center"/>
          </w:tcPr>
          <w:p>
            <w:pPr>
              <w:spacing w:afterAutospacing="1" w:line="30" w:lineRule="atLeast"/>
              <w:rPr>
                <w:color w:val="333333"/>
                <w:sz w:val="20"/>
                <w:lang w:bidi="ar"/>
              </w:rPr>
            </w:pPr>
            <w:r>
              <w:rPr>
                <w:color w:val="333333"/>
                <w:sz w:val="20"/>
                <w:lang w:bidi="ar"/>
              </w:rPr>
              <w:t>1.监测时间点前2周内无更新。</w:t>
            </w:r>
            <w:r>
              <w:rPr>
                <w:color w:val="333333"/>
                <w:sz w:val="20"/>
                <w:lang w:bidi="ar"/>
              </w:rPr>
              <w:br w:type="textWrapping"/>
            </w:r>
            <w:r>
              <w:rPr>
                <w:color w:val="333333"/>
                <w:sz w:val="20"/>
                <w:lang w:bidi="ar"/>
              </w:rPr>
              <w:t>2.移动客户端（APP）无法下载或使用，发生“僵尸”、“睡眠”情况。</w:t>
            </w:r>
          </w:p>
        </w:tc>
        <w:tc>
          <w:tcPr>
            <w:tcW w:w="1368" w:type="dxa"/>
            <w:noWrap w:val="0"/>
            <w:vAlign w:val="center"/>
          </w:tcPr>
          <w:p>
            <w:pPr>
              <w:spacing w:afterAutospacing="1" w:line="30" w:lineRule="atLeast"/>
              <w:jc w:val="center"/>
              <w:rPr>
                <w:color w:val="333333"/>
                <w:sz w:val="20"/>
                <w:lang w:bidi="ar"/>
              </w:rPr>
            </w:pPr>
            <w:r>
              <w:rPr>
                <w:rFonts w:hint="eastAsia"/>
                <w:color w:val="333333"/>
                <w:sz w:val="20"/>
                <w:lang w:bidi="ar"/>
              </w:rPr>
              <w:t>人工检查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376" w:type="dxa"/>
            <w:vMerge w:val="continue"/>
            <w:noWrap w:val="0"/>
            <w:vAlign w:val="center"/>
          </w:tcPr>
          <w:p>
            <w:pPr>
              <w:rPr>
                <w:color w:val="333333"/>
              </w:rPr>
            </w:pPr>
          </w:p>
        </w:tc>
        <w:tc>
          <w:tcPr>
            <w:tcW w:w="1883" w:type="dxa"/>
            <w:noWrap w:val="0"/>
            <w:vAlign w:val="center"/>
          </w:tcPr>
          <w:p>
            <w:pPr>
              <w:spacing w:afterAutospacing="1" w:line="30" w:lineRule="atLeast"/>
              <w:jc w:val="center"/>
              <w:rPr>
                <w:color w:val="333333"/>
                <w:sz w:val="20"/>
                <w:lang w:bidi="ar"/>
              </w:rPr>
            </w:pPr>
            <w:r>
              <w:rPr>
                <w:color w:val="333333"/>
                <w:sz w:val="20"/>
                <w:lang w:bidi="ar"/>
              </w:rPr>
              <w:t>互动回应差</w:t>
            </w:r>
          </w:p>
        </w:tc>
        <w:tc>
          <w:tcPr>
            <w:tcW w:w="5113" w:type="dxa"/>
            <w:noWrap w:val="0"/>
            <w:vAlign w:val="center"/>
          </w:tcPr>
          <w:p>
            <w:pPr>
              <w:spacing w:afterAutospacing="1" w:line="30" w:lineRule="atLeast"/>
              <w:rPr>
                <w:color w:val="333333"/>
                <w:sz w:val="20"/>
                <w:lang w:bidi="ar"/>
              </w:rPr>
            </w:pPr>
            <w:r>
              <w:rPr>
                <w:color w:val="333333"/>
                <w:sz w:val="20"/>
                <w:lang w:bidi="ar"/>
              </w:rPr>
              <w:t>1.未提供有效互动功能。</w:t>
            </w:r>
            <w:r>
              <w:rPr>
                <w:color w:val="333333"/>
                <w:sz w:val="20"/>
                <w:lang w:bidi="ar"/>
              </w:rPr>
              <w:br w:type="textWrapping"/>
            </w:r>
            <w:r>
              <w:rPr>
                <w:color w:val="333333"/>
                <w:sz w:val="20"/>
                <w:lang w:bidi="ar"/>
              </w:rPr>
              <w:t>2.存在购买“粉丝”、强制要求群众点赞等弄虚作假行为。</w:t>
            </w:r>
            <w:r>
              <w:rPr>
                <w:color w:val="333333"/>
                <w:sz w:val="20"/>
                <w:lang w:bidi="ar"/>
              </w:rPr>
              <w:br w:type="textWrapping"/>
            </w:r>
            <w:r>
              <w:rPr>
                <w:color w:val="333333"/>
                <w:sz w:val="20"/>
                <w:lang w:bidi="ar"/>
              </w:rPr>
              <w:t>上述情况出现任意一种，即单项否决。</w:t>
            </w:r>
          </w:p>
        </w:tc>
        <w:tc>
          <w:tcPr>
            <w:tcW w:w="1368" w:type="dxa"/>
            <w:noWrap w:val="0"/>
            <w:vAlign w:val="center"/>
          </w:tcPr>
          <w:p>
            <w:pPr>
              <w:spacing w:after="100" w:afterAutospacing="1" w:line="30" w:lineRule="atLeast"/>
              <w:jc w:val="center"/>
              <w:rPr>
                <w:color w:val="333333"/>
                <w:sz w:val="20"/>
                <w:lang w:bidi="ar"/>
              </w:rPr>
            </w:pPr>
            <w:r>
              <w:rPr>
                <w:rFonts w:hint="eastAsia"/>
                <w:color w:val="333333"/>
                <w:sz w:val="20"/>
                <w:lang w:bidi="ar"/>
              </w:rPr>
              <w:t>人工检查</w:t>
            </w:r>
          </w:p>
        </w:tc>
      </w:tr>
    </w:tbl>
    <w:p>
      <w:pPr>
        <w:spacing w:before="156" w:beforeLines="50" w:after="93" w:afterLines="30"/>
        <w:rPr>
          <w:b/>
        </w:rPr>
      </w:pPr>
      <w:r>
        <w:rPr>
          <w:b/>
        </w:rPr>
        <w:t>（二）扣分指标（100分）</w:t>
      </w:r>
    </w:p>
    <w:tbl>
      <w:tblPr>
        <w:tblStyle w:val="3"/>
        <w:tblW w:w="0" w:type="auto"/>
        <w:jc w:val="center"/>
        <w:tblLayout w:type="fixed"/>
        <w:tblCellMar>
          <w:top w:w="0" w:type="dxa"/>
          <w:left w:w="0" w:type="dxa"/>
          <w:bottom w:w="0" w:type="dxa"/>
          <w:right w:w="0" w:type="dxa"/>
        </w:tblCellMar>
      </w:tblPr>
      <w:tblGrid>
        <w:gridCol w:w="1291"/>
        <w:gridCol w:w="1736"/>
        <w:gridCol w:w="4625"/>
        <w:gridCol w:w="712"/>
        <w:gridCol w:w="1296"/>
      </w:tblGrid>
      <w:tr>
        <w:trPr>
          <w:trHeight w:val="322" w:hRule="atLeast"/>
          <w:tblHeader/>
          <w:jc w:val="center"/>
        </w:trPr>
        <w:tc>
          <w:tcPr>
            <w:tcW w:w="129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b/>
                <w:bCs/>
                <w:kern w:val="0"/>
                <w:sz w:val="20"/>
              </w:rPr>
              <w:t>一级指标</w:t>
            </w:r>
          </w:p>
        </w:tc>
        <w:tc>
          <w:tcPr>
            <w:tcW w:w="173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b/>
                <w:bCs/>
                <w:kern w:val="0"/>
                <w:sz w:val="20"/>
              </w:rPr>
              <w:t>二级指标</w:t>
            </w:r>
          </w:p>
        </w:tc>
        <w:tc>
          <w:tcPr>
            <w:tcW w:w="46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b/>
                <w:bCs/>
                <w:kern w:val="0"/>
                <w:sz w:val="20"/>
              </w:rPr>
              <w:t>评分细则</w:t>
            </w:r>
          </w:p>
        </w:tc>
        <w:tc>
          <w:tcPr>
            <w:tcW w:w="7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b/>
                <w:bCs/>
                <w:kern w:val="0"/>
                <w:sz w:val="20"/>
              </w:rPr>
              <w:t>分值</w:t>
            </w:r>
          </w:p>
        </w:tc>
        <w:tc>
          <w:tcPr>
            <w:tcW w:w="1296" w:type="dxa"/>
            <w:tcBorders>
              <w:top w:val="single" w:color="auto" w:sz="8" w:space="0"/>
              <w:left w:val="nil"/>
              <w:bottom w:val="single" w:color="auto" w:sz="8" w:space="0"/>
              <w:right w:val="single" w:color="auto" w:sz="8" w:space="0"/>
            </w:tcBorders>
            <w:noWrap w:val="0"/>
            <w:vAlign w:val="top"/>
          </w:tcPr>
          <w:p>
            <w:pPr>
              <w:jc w:val="center"/>
              <w:rPr>
                <w:b/>
                <w:bCs/>
                <w:kern w:val="0"/>
                <w:sz w:val="20"/>
              </w:rPr>
            </w:pPr>
            <w:r>
              <w:rPr>
                <w:rFonts w:hint="eastAsia"/>
                <w:b/>
                <w:bCs/>
                <w:kern w:val="0"/>
                <w:sz w:val="20"/>
              </w:rPr>
              <w:t>检查方式</w:t>
            </w:r>
          </w:p>
        </w:tc>
      </w:tr>
      <w:tr>
        <w:tblPrEx>
          <w:tblCellMar>
            <w:top w:w="0" w:type="dxa"/>
            <w:left w:w="0" w:type="dxa"/>
            <w:bottom w:w="0" w:type="dxa"/>
            <w:right w:w="0" w:type="dxa"/>
          </w:tblCellMar>
        </w:tblPrEx>
        <w:trPr>
          <w:trHeight w:val="1298" w:hRule="atLeast"/>
          <w:jc w:val="center"/>
        </w:trPr>
        <w:tc>
          <w:tcPr>
            <w:tcW w:w="129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发布解读</w:t>
            </w:r>
          </w:p>
          <w:p>
            <w:pPr>
              <w:jc w:val="center"/>
              <w:rPr>
                <w:kern w:val="0"/>
                <w:szCs w:val="24"/>
              </w:rPr>
            </w:pPr>
            <w:r>
              <w:rPr>
                <w:kern w:val="0"/>
                <w:sz w:val="20"/>
              </w:rPr>
              <w:t>（31分）</w:t>
            </w: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概况信息</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1.未开设概况信息类栏目的，扣2分。</w:t>
            </w:r>
            <w:r>
              <w:rPr>
                <w:kern w:val="0"/>
                <w:sz w:val="20"/>
              </w:rPr>
              <w:br w:type="textWrapping"/>
            </w:r>
            <w:r>
              <w:rPr>
                <w:kern w:val="0"/>
                <w:sz w:val="20"/>
              </w:rPr>
              <w:t>2.概况信息更新不及时或不准确的，每发现一处，扣1分。</w:t>
            </w:r>
            <w:r>
              <w:rPr>
                <w:kern w:val="0"/>
                <w:sz w:val="20"/>
              </w:rPr>
              <w:br w:type="textWrapping"/>
            </w:r>
            <w:r>
              <w:rPr>
                <w:kern w:val="0"/>
                <w:sz w:val="20"/>
              </w:rPr>
              <w:t>（注：对国务院部门门户网站不检查该项指标。）</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2</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541"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机构职能</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1.未开设机构职能类栏目的，扣2分。</w:t>
            </w:r>
            <w:r>
              <w:rPr>
                <w:kern w:val="0"/>
                <w:sz w:val="20"/>
              </w:rPr>
              <w:br w:type="textWrapping"/>
            </w:r>
            <w:r>
              <w:rPr>
                <w:kern w:val="0"/>
                <w:sz w:val="20"/>
              </w:rPr>
              <w:t>2.机构职能信息不准确的，每发现一处，扣1分。</w:t>
            </w:r>
            <w:r>
              <w:rPr>
                <w:kern w:val="0"/>
                <w:sz w:val="20"/>
              </w:rPr>
              <w:br w:type="textWrapping"/>
            </w:r>
            <w:r>
              <w:rPr>
                <w:kern w:val="0"/>
                <w:sz w:val="20"/>
              </w:rPr>
              <w:t>（注：国务院部门门户网站未开设机构职能类栏目扣4分，信息不准确的，每发现一处扣1分，最多扣4分。）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2</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810"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领导信息</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1.未开设领导信息类栏目的，扣2分。</w:t>
            </w:r>
            <w:r>
              <w:rPr>
                <w:kern w:val="0"/>
                <w:sz w:val="20"/>
              </w:rPr>
              <w:br w:type="textWrapping"/>
            </w:r>
            <w:r>
              <w:rPr>
                <w:kern w:val="0"/>
                <w:sz w:val="20"/>
              </w:rPr>
              <w:t>2.领导姓名、简历等信息缺失或不准确的，每发现一处，扣1分。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2</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566"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动态要闻</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1.未开设动态要闻类栏目的，扣5分。</w:t>
            </w:r>
            <w:r>
              <w:rPr>
                <w:kern w:val="0"/>
                <w:sz w:val="20"/>
              </w:rPr>
              <w:br w:type="textWrapping"/>
            </w:r>
            <w:r>
              <w:rPr>
                <w:kern w:val="0"/>
                <w:sz w:val="20"/>
              </w:rPr>
              <w:t>2.监测时间点前2周内未更新的，扣5分。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5</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810"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政策文件</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1.未开设政策文件类栏目的，扣5分。</w:t>
            </w:r>
            <w:r>
              <w:rPr>
                <w:kern w:val="0"/>
                <w:sz w:val="20"/>
              </w:rPr>
              <w:br w:type="textWrapping"/>
            </w:r>
            <w:r>
              <w:rPr>
                <w:kern w:val="0"/>
                <w:sz w:val="20"/>
              </w:rPr>
              <w:t>2.监测时间点前6个月内政策文件类一级栏目未更新的，扣5分。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5</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810"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政策解读</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1.未开设政策解读类栏目的，扣5分。</w:t>
            </w:r>
            <w:r>
              <w:rPr>
                <w:kern w:val="0"/>
                <w:sz w:val="20"/>
              </w:rPr>
              <w:br w:type="textWrapping"/>
            </w:r>
            <w:r>
              <w:rPr>
                <w:kern w:val="0"/>
                <w:sz w:val="20"/>
              </w:rPr>
              <w:t>2.监测时间点前6个月内政策解读类一级栏目未更新的，扣5分。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5</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541"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解读比例</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随机抽查网站已发布的3个以本地区本部门或本地区本部门办公厅（室）名义印发的涉及面广、社会关注度高的政策文件，被解读的文件数量每少一个，扣1分。</w:t>
            </w:r>
            <w:r>
              <w:rPr>
                <w:kern w:val="0"/>
                <w:sz w:val="20"/>
              </w:rPr>
              <w:br w:type="textWrapping"/>
            </w:r>
            <w:r>
              <w:rPr>
                <w:kern w:val="0"/>
                <w:sz w:val="20"/>
              </w:rPr>
              <w:t>（注：不足3个的则检查全部文件。）</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3</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298"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解读关联</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随机抽查网站已发布的3个解读稿：未与被解读的政策文件相关联的，每发现一处，扣0.5分；该政策文件未与被抽查解读稿相关联的，每发现一处，扣0.5分。</w:t>
            </w:r>
            <w:r>
              <w:rPr>
                <w:kern w:val="0"/>
                <w:sz w:val="20"/>
              </w:rPr>
              <w:br w:type="textWrapping"/>
            </w:r>
            <w:r>
              <w:rPr>
                <w:kern w:val="0"/>
                <w:sz w:val="20"/>
              </w:rPr>
              <w:t>（注：不足3个的则检查全部解读稿。）</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 3</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541"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其他栏目</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1.其他栏目存在空白的，每发现一个，扣2分。</w:t>
            </w:r>
            <w:r>
              <w:rPr>
                <w:kern w:val="0"/>
                <w:sz w:val="20"/>
              </w:rPr>
              <w:br w:type="textWrapping"/>
            </w:r>
            <w:r>
              <w:rPr>
                <w:kern w:val="0"/>
                <w:sz w:val="20"/>
              </w:rPr>
              <w:t>2.其他栏目存在应更新未更新的，每发现一个，扣1分。</w:t>
            </w:r>
            <w:r>
              <w:rPr>
                <w:kern w:val="0"/>
                <w:sz w:val="20"/>
              </w:rPr>
              <w:br w:type="textWrapping"/>
            </w:r>
            <w:r>
              <w:rPr>
                <w:kern w:val="0"/>
                <w:sz w:val="20"/>
              </w:rPr>
              <w:t>（注：因空白、应更新未更新等原因已按其他指标扣分的，本指标项下不重复扣分。）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4</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566" w:hRule="atLeast"/>
          <w:jc w:val="center"/>
        </w:trPr>
        <w:tc>
          <w:tcPr>
            <w:tcW w:w="129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办事服务</w:t>
            </w:r>
          </w:p>
          <w:p>
            <w:pPr>
              <w:jc w:val="center"/>
              <w:rPr>
                <w:kern w:val="0"/>
                <w:szCs w:val="24"/>
              </w:rPr>
            </w:pPr>
            <w:r>
              <w:rPr>
                <w:kern w:val="0"/>
                <w:sz w:val="20"/>
              </w:rPr>
              <w:t>（25分）</w:t>
            </w: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事项公开</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未对办事服务事项集中分类展示的，扣3分。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3</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054"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在线申请</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1.未提供在线注册功能或提供注册功能但用户（含异地用户）无法注册的，扣5分。</w:t>
            </w:r>
            <w:r>
              <w:rPr>
                <w:kern w:val="0"/>
                <w:sz w:val="20"/>
              </w:rPr>
              <w:br w:type="textWrapping"/>
            </w:r>
            <w:r>
              <w:rPr>
                <w:kern w:val="0"/>
                <w:sz w:val="20"/>
              </w:rPr>
              <w:t>2.注册用户无法在线办事的，扣5分。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5</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810"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办事统计</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1.未公开办事统计数据的，扣2分。</w:t>
            </w:r>
            <w:r>
              <w:rPr>
                <w:kern w:val="0"/>
                <w:sz w:val="20"/>
              </w:rPr>
              <w:br w:type="textWrapping"/>
            </w:r>
            <w:r>
              <w:rPr>
                <w:kern w:val="0"/>
                <w:sz w:val="20"/>
              </w:rPr>
              <w:t>2.监测时间点前1个月内未更新的，扣1分；3个月内未更新的，扣2分。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2</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4460"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办事指南</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随机抽查5个办事服务事项：</w:t>
            </w:r>
            <w:r>
              <w:rPr>
                <w:kern w:val="0"/>
                <w:sz w:val="20"/>
              </w:rPr>
              <w:br w:type="textWrapping"/>
            </w:r>
            <w:r>
              <w:rPr>
                <w:kern w:val="0"/>
                <w:sz w:val="20"/>
              </w:rPr>
              <w:t>1.事项无办事指南的，每发现一个，扣4分；</w:t>
            </w:r>
            <w:r>
              <w:rPr>
                <w:kern w:val="0"/>
                <w:sz w:val="20"/>
              </w:rPr>
              <w:br w:type="textWrapping"/>
            </w:r>
            <w:r>
              <w:rPr>
                <w:kern w:val="0"/>
                <w:sz w:val="20"/>
              </w:rPr>
              <w:t>2.提供办事指南，但重点要素类别（包括事项名称、设定依据、申请条件、办理材料、办理地点、办理机构、收费标准、办理时间、联系电话、办理流程）缺失的，每发现一处，扣0.5分；</w:t>
            </w:r>
            <w:r>
              <w:rPr>
                <w:kern w:val="0"/>
                <w:sz w:val="20"/>
              </w:rPr>
              <w:br w:type="textWrapping"/>
            </w:r>
            <w:r>
              <w:rPr>
                <w:kern w:val="0"/>
                <w:sz w:val="20"/>
              </w:rPr>
              <w:t>3.办理材料格式要求不明确的（如未说明原件/复印件、纸质版/电子版、份数等），每发现一个存在该问题的事项，扣1分；</w:t>
            </w:r>
            <w:r>
              <w:rPr>
                <w:kern w:val="0"/>
                <w:sz w:val="20"/>
              </w:rPr>
              <w:br w:type="textWrapping"/>
            </w:r>
            <w:r>
              <w:rPr>
                <w:kern w:val="0"/>
                <w:sz w:val="20"/>
              </w:rPr>
              <w:t>4.存在表述含糊不清的情形（如“根据有关法律法规规定应提交的其他材料”等表述），每发现一个存在该问题的事项，扣2分；</w:t>
            </w:r>
            <w:r>
              <w:rPr>
                <w:kern w:val="0"/>
                <w:sz w:val="20"/>
              </w:rPr>
              <w:br w:type="textWrapping"/>
            </w:r>
            <w:r>
              <w:rPr>
                <w:kern w:val="0"/>
                <w:sz w:val="20"/>
              </w:rPr>
              <w:t>5.办事指南中提到的政策文件仅有名称、未说明具体内容的，每发现一个存在该问题的事项，扣0.5分。</w:t>
            </w:r>
            <w:r>
              <w:rPr>
                <w:kern w:val="0"/>
                <w:sz w:val="20"/>
              </w:rPr>
              <w:br w:type="textWrapping"/>
            </w:r>
            <w:r>
              <w:rPr>
                <w:kern w:val="0"/>
                <w:sz w:val="20"/>
              </w:rPr>
              <w:t>（注：不足5个的则检查全部事项。）</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8</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054"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内容准确</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随机抽查5个办事指南，信息（如咨询电话、投诉电话等）存在错误，或与实际办事要求不一致的，每发现一处，扣1分。</w:t>
            </w:r>
            <w:r>
              <w:rPr>
                <w:kern w:val="0"/>
                <w:sz w:val="20"/>
              </w:rPr>
              <w:br w:type="textWrapping"/>
            </w:r>
            <w:r>
              <w:rPr>
                <w:kern w:val="0"/>
                <w:sz w:val="20"/>
              </w:rPr>
              <w:t>（注：不足5个的则检查全部指南。）</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5</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054"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表格样表</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Cs w:val="24"/>
              </w:rPr>
            </w:pPr>
            <w:r>
              <w:rPr>
                <w:kern w:val="0"/>
                <w:sz w:val="20"/>
              </w:rPr>
              <w:t>随机抽查2个办事指南，要求办事人提供申请表、申请书等表单但未提供规范表格获取渠道的，每发现一个存在该问题的办事指南，扣1分。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2</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566" w:hRule="atLeast"/>
          <w:jc w:val="center"/>
        </w:trPr>
        <w:tc>
          <w:tcPr>
            <w:tcW w:w="129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互动交流</w:t>
            </w:r>
          </w:p>
          <w:p>
            <w:pPr>
              <w:jc w:val="center"/>
              <w:rPr>
                <w:kern w:val="0"/>
                <w:szCs w:val="24"/>
              </w:rPr>
            </w:pPr>
            <w:r>
              <w:rPr>
                <w:kern w:val="0"/>
                <w:sz w:val="20"/>
              </w:rPr>
              <w:t>（23分）</w:t>
            </w: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信息提交</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Cs w:val="24"/>
              </w:rPr>
            </w:pPr>
            <w:r>
              <w:rPr>
                <w:kern w:val="0"/>
                <w:sz w:val="20"/>
              </w:rPr>
              <w:t>存在网民（含异地用户）无法使用网站互动交流功能提交信息问题的，扣7分。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7</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054"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统一登录</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Cs w:val="24"/>
              </w:rPr>
            </w:pPr>
            <w:r>
              <w:rPr>
                <w:kern w:val="0"/>
                <w:sz w:val="20"/>
              </w:rPr>
              <w:t>网站各个具有互动交流功能的栏目（网上信访、纪检举报等专门渠道除外）提供的注册登录功能，未实现统一注册登录的，扣3分。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3</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2417"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留言公开</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1.咨询建言类栏目（网上信访、纪检举报等专门渠道除外）对所有网民留言都未公开的，扣6分。</w:t>
            </w:r>
            <w:r>
              <w:rPr>
                <w:kern w:val="0"/>
                <w:sz w:val="20"/>
              </w:rPr>
              <w:br w:type="textWrapping"/>
            </w:r>
            <w:r>
              <w:rPr>
                <w:kern w:val="0"/>
                <w:sz w:val="20"/>
              </w:rPr>
              <w:t>2.随机抽查5条已公开的网民留言，未公开留言时间、答复时间、答复单位、答复内容的，每发现一处，扣1分。</w:t>
            </w:r>
            <w:r>
              <w:rPr>
                <w:kern w:val="0"/>
                <w:sz w:val="20"/>
              </w:rPr>
              <w:br w:type="textWrapping"/>
            </w:r>
            <w:r>
              <w:rPr>
                <w:kern w:val="0"/>
                <w:sz w:val="20"/>
              </w:rPr>
              <w:t>3.监测时间点前2个月内未更新的，扣3分。</w:t>
            </w:r>
            <w:r>
              <w:rPr>
                <w:kern w:val="0"/>
                <w:sz w:val="20"/>
              </w:rPr>
              <w:br w:type="textWrapping"/>
            </w:r>
            <w:r>
              <w:rPr>
                <w:kern w:val="0"/>
                <w:sz w:val="20"/>
              </w:rPr>
              <w:t>4.未公开留言受理反馈情况统计数据的，扣3分。</w:t>
            </w:r>
            <w:r>
              <w:rPr>
                <w:kern w:val="0"/>
                <w:sz w:val="20"/>
              </w:rPr>
              <w:br w:type="textWrapping"/>
            </w:r>
            <w:r>
              <w:rPr>
                <w:kern w:val="0"/>
                <w:sz w:val="20"/>
              </w:rPr>
              <w:t>（注：不足5条的则检查全部留言。）</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6</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282"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办理答复</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模拟用户进行2次简单常见问题咨询：</w:t>
            </w:r>
            <w:r>
              <w:rPr>
                <w:kern w:val="0"/>
                <w:sz w:val="20"/>
              </w:rPr>
              <w:br w:type="textWrapping"/>
            </w:r>
            <w:r>
              <w:rPr>
                <w:kern w:val="0"/>
                <w:sz w:val="20"/>
              </w:rPr>
              <w:t>1.未在5个工作日内收到网上答复意见的，每发现一次，扣4分；</w:t>
            </w:r>
            <w:r>
              <w:rPr>
                <w:kern w:val="0"/>
                <w:sz w:val="20"/>
              </w:rPr>
              <w:br w:type="textWrapping"/>
            </w:r>
            <w:r>
              <w:rPr>
                <w:kern w:val="0"/>
                <w:sz w:val="20"/>
              </w:rPr>
              <w:t>2.答复内容质量不高，有推诿、敷衍等现象的，每发现一次，扣4分。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7</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298" w:hRule="atLeast"/>
          <w:jc w:val="center"/>
        </w:trPr>
        <w:tc>
          <w:tcPr>
            <w:tcW w:w="129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功能设计</w:t>
            </w:r>
          </w:p>
          <w:p>
            <w:pPr>
              <w:jc w:val="center"/>
              <w:rPr>
                <w:kern w:val="0"/>
                <w:szCs w:val="24"/>
              </w:rPr>
            </w:pPr>
            <w:r>
              <w:rPr>
                <w:kern w:val="0"/>
                <w:sz w:val="20"/>
              </w:rPr>
              <w:t>（21分）</w:t>
            </w: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域名名称</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1.域名不符合规范的，扣1分。</w:t>
            </w:r>
            <w:r>
              <w:rPr>
                <w:kern w:val="0"/>
                <w:sz w:val="20"/>
              </w:rPr>
              <w:br w:type="textWrapping"/>
            </w:r>
            <w:r>
              <w:rPr>
                <w:kern w:val="0"/>
                <w:sz w:val="20"/>
              </w:rPr>
              <w:t>2.网站未以本地区本部门名称命名的，扣1分。</w:t>
            </w:r>
            <w:r>
              <w:rPr>
                <w:kern w:val="0"/>
                <w:sz w:val="20"/>
              </w:rPr>
              <w:br w:type="textWrapping"/>
            </w:r>
            <w:r>
              <w:rPr>
                <w:kern w:val="0"/>
                <w:sz w:val="20"/>
              </w:rPr>
              <w:t>3.网站名称未在全站页面头部区域显著展示的，扣1分。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3</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054"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网站标识</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未在全站页面底部功能区清晰列明党政机关网站标识、网站标识码、ICP备案编号、公安机关备案标识、网站主办单位、联系方式的，每缺一项，扣0.5分。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3</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786"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可用性</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1.首页上的链接（包括图片、附件、外部链接等）打不开或错误的，每发现一处，扣0.2分；如首页仅为网站栏目导航入口，则检查所有二级页面上的链接。</w:t>
            </w:r>
            <w:r>
              <w:rPr>
                <w:kern w:val="0"/>
                <w:sz w:val="20"/>
              </w:rPr>
              <w:br w:type="textWrapping"/>
            </w:r>
            <w:r>
              <w:rPr>
                <w:kern w:val="0"/>
                <w:sz w:val="20"/>
              </w:rPr>
              <w:t>2.其他页面上的链接（包括图片、附件、外部链接等）打不开或错误的，每发现一处，扣0.1分。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1</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机器检查</w:t>
            </w:r>
          </w:p>
        </w:tc>
      </w:tr>
      <w:tr>
        <w:tblPrEx>
          <w:tblCellMar>
            <w:top w:w="0" w:type="dxa"/>
            <w:left w:w="0" w:type="dxa"/>
            <w:bottom w:w="0" w:type="dxa"/>
            <w:right w:w="0" w:type="dxa"/>
          </w:tblCellMar>
        </w:tblPrEx>
        <w:trPr>
          <w:trHeight w:val="1298"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Cs w:val="24"/>
              </w:rPr>
            </w:pPr>
            <w:r>
              <w:rPr>
                <w:kern w:val="0"/>
                <w:sz w:val="20"/>
              </w:rPr>
              <w:t>“我为政府网</w:t>
            </w:r>
          </w:p>
          <w:p>
            <w:pPr>
              <w:jc w:val="center"/>
              <w:rPr>
                <w:kern w:val="0"/>
                <w:szCs w:val="24"/>
              </w:rPr>
            </w:pPr>
            <w:r>
              <w:rPr>
                <w:kern w:val="0"/>
                <w:sz w:val="20"/>
              </w:rPr>
              <w:t>站找错”</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1.未在首页底部功能区规范添加“我为政府网站找错”入口的，扣1分。</w:t>
            </w:r>
            <w:r>
              <w:rPr>
                <w:kern w:val="0"/>
                <w:sz w:val="20"/>
              </w:rPr>
              <w:br w:type="textWrapping"/>
            </w:r>
            <w:r>
              <w:rPr>
                <w:kern w:val="0"/>
                <w:sz w:val="20"/>
              </w:rPr>
              <w:t>2.未在其他页面底部功能区规范添加“我为政府网站找错”入口的，每发现一处，扣0.2分。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1</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541"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vMerge w:val="continue"/>
            <w:tcBorders>
              <w:top w:val="nil"/>
              <w:left w:val="nil"/>
              <w:bottom w:val="single" w:color="auto" w:sz="8" w:space="0"/>
              <w:right w:val="single" w:color="auto" w:sz="8" w:space="0"/>
            </w:tcBorders>
            <w:noWrap w:val="0"/>
            <w:vAlign w:val="center"/>
          </w:tcPr>
          <w:p>
            <w:pPr>
              <w:rPr>
                <w:kern w:val="0"/>
                <w:szCs w:val="24"/>
              </w:rPr>
            </w:pP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1.监测时间点前6个月内，存在网民留言超过3个工作日未答复的，每发现一条，扣1分。</w:t>
            </w:r>
            <w:r>
              <w:rPr>
                <w:kern w:val="0"/>
                <w:sz w:val="20"/>
              </w:rPr>
              <w:br w:type="textWrapping"/>
            </w:r>
            <w:r>
              <w:rPr>
                <w:kern w:val="0"/>
                <w:sz w:val="20"/>
              </w:rPr>
              <w:t>2.监测时间点前6个月内，存在答复内容质量不高，有推诿、敷衍等现象的，每发现一条，扣1分。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3</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2030"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站内搜索</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1.未提供全站站内搜索功能或功能不可用的，扣4分。</w:t>
            </w:r>
            <w:r>
              <w:rPr>
                <w:kern w:val="0"/>
                <w:sz w:val="20"/>
              </w:rPr>
              <w:br w:type="textWrapping"/>
            </w:r>
            <w:r>
              <w:rPr>
                <w:kern w:val="0"/>
                <w:sz w:val="20"/>
              </w:rPr>
              <w:t>2.随机选取4条网站已发布的信息或服务的标题进行测试，在搜索结果第一页无法找到该内容的，每条扣1分。</w:t>
            </w:r>
            <w:r>
              <w:rPr>
                <w:kern w:val="0"/>
                <w:sz w:val="20"/>
              </w:rPr>
              <w:br w:type="textWrapping"/>
            </w:r>
            <w:r>
              <w:rPr>
                <w:kern w:val="0"/>
                <w:sz w:val="20"/>
              </w:rPr>
              <w:t>3.未对搜索结果进行分类展现的（如按照政策文件、办事指南等进行分类），扣1分。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4</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810"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一号登录</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注册用户在各个功能板块（网上信访、纪检举报等专门渠道除外）无法一号登录的，扣2分。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2</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1054"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页面标签</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1.随机抽查5个内容页面，无站点标签或内容标签的，每个扣0.1分。</w:t>
            </w:r>
            <w:r>
              <w:rPr>
                <w:kern w:val="0"/>
                <w:sz w:val="20"/>
              </w:rPr>
              <w:br w:type="textWrapping"/>
            </w:r>
            <w:r>
              <w:rPr>
                <w:kern w:val="0"/>
                <w:sz w:val="20"/>
              </w:rPr>
              <w:t>2.随机抽查5个栏目页面，无站点标签或栏目标签的，每个扣0.1分。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1</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566"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兼容性</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使用主流浏览器访问网站，不能正常显示页面内容的，每类扣1分。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2</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人工检查</w:t>
            </w:r>
          </w:p>
        </w:tc>
      </w:tr>
      <w:tr>
        <w:tblPrEx>
          <w:tblCellMar>
            <w:top w:w="0" w:type="dxa"/>
            <w:left w:w="0" w:type="dxa"/>
            <w:bottom w:w="0" w:type="dxa"/>
            <w:right w:w="0" w:type="dxa"/>
          </w:tblCellMar>
        </w:tblPrEx>
        <w:trPr>
          <w:trHeight w:val="397" w:hRule="atLeast"/>
          <w:jc w:val="center"/>
        </w:trPr>
        <w:tc>
          <w:tcPr>
            <w:tcW w:w="1291" w:type="dxa"/>
            <w:vMerge w:val="continue"/>
            <w:tcBorders>
              <w:top w:val="nil"/>
              <w:left w:val="single" w:color="auto" w:sz="8" w:space="0"/>
              <w:bottom w:val="single" w:color="auto" w:sz="8" w:space="0"/>
              <w:right w:val="single" w:color="auto" w:sz="8" w:space="0"/>
            </w:tcBorders>
            <w:noWrap w:val="0"/>
            <w:vAlign w:val="center"/>
          </w:tcPr>
          <w:p>
            <w:pPr>
              <w:rPr>
                <w:kern w:val="0"/>
                <w:szCs w:val="24"/>
              </w:rPr>
            </w:pPr>
          </w:p>
        </w:tc>
        <w:tc>
          <w:tcPr>
            <w:tcW w:w="173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IPv6改造</w:t>
            </w:r>
          </w:p>
        </w:tc>
        <w:tc>
          <w:tcPr>
            <w:tcW w:w="46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rPr>
                <w:kern w:val="0"/>
                <w:sz w:val="20"/>
              </w:rPr>
            </w:pPr>
            <w:r>
              <w:rPr>
                <w:kern w:val="0"/>
                <w:sz w:val="20"/>
              </w:rPr>
              <w:t>未按照要求完成IPv6改造的，扣1分。</w:t>
            </w:r>
          </w:p>
        </w:tc>
        <w:tc>
          <w:tcPr>
            <w:tcW w:w="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kern w:val="0"/>
                <w:szCs w:val="24"/>
              </w:rPr>
            </w:pPr>
            <w:r>
              <w:rPr>
                <w:kern w:val="0"/>
                <w:sz w:val="20"/>
              </w:rPr>
              <w:t>1</w:t>
            </w:r>
          </w:p>
        </w:tc>
        <w:tc>
          <w:tcPr>
            <w:tcW w:w="1296" w:type="dxa"/>
            <w:tcBorders>
              <w:top w:val="nil"/>
              <w:left w:val="nil"/>
              <w:bottom w:val="single" w:color="auto" w:sz="8" w:space="0"/>
              <w:right w:val="single" w:color="auto" w:sz="8" w:space="0"/>
            </w:tcBorders>
            <w:noWrap w:val="0"/>
            <w:vAlign w:val="center"/>
          </w:tcPr>
          <w:p>
            <w:pPr>
              <w:jc w:val="center"/>
              <w:rPr>
                <w:kern w:val="0"/>
                <w:sz w:val="20"/>
              </w:rPr>
            </w:pPr>
            <w:r>
              <w:rPr>
                <w:rFonts w:hint="eastAsia"/>
                <w:kern w:val="0"/>
                <w:sz w:val="20"/>
              </w:rPr>
              <w:t>机器检查</w:t>
            </w:r>
          </w:p>
        </w:tc>
      </w:tr>
    </w:tbl>
    <w:p>
      <w:pPr>
        <w:spacing w:line="600" w:lineRule="exact"/>
        <w:ind w:firstLine="555"/>
        <w:jc w:val="left"/>
        <w:rPr>
          <w:rFonts w:ascii="宋体" w:hAnsi="宋体"/>
          <w:bCs/>
          <w:sz w:val="28"/>
          <w:szCs w:val="28"/>
        </w:rPr>
      </w:pP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（2）检测范围及频率</w:t>
      </w:r>
    </w:p>
    <w:tbl>
      <w:tblPr>
        <w:tblStyle w:val="3"/>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268"/>
        <w:gridCol w:w="1701"/>
        <w:gridCol w:w="1701"/>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8" w:type="dxa"/>
            <w:noWrap w:val="0"/>
            <w:vAlign w:val="center"/>
          </w:tcPr>
          <w:p>
            <w:pPr>
              <w:jc w:val="center"/>
            </w:pPr>
            <w:r>
              <w:rPr>
                <w:rFonts w:hint="eastAsia" w:ascii="宋体" w:hAnsi="宋体"/>
                <w:sz w:val="24"/>
                <w:szCs w:val="24"/>
              </w:rPr>
              <w:t>网站名称</w:t>
            </w:r>
          </w:p>
        </w:tc>
        <w:tc>
          <w:tcPr>
            <w:tcW w:w="2268" w:type="dxa"/>
            <w:noWrap w:val="0"/>
            <w:vAlign w:val="center"/>
          </w:tcPr>
          <w:p>
            <w:pPr>
              <w:jc w:val="center"/>
            </w:pPr>
            <w:r>
              <w:rPr>
                <w:rFonts w:hint="eastAsia" w:ascii="宋体" w:hAnsi="宋体"/>
                <w:sz w:val="24"/>
                <w:szCs w:val="24"/>
              </w:rPr>
              <w:t>链接地址</w:t>
            </w:r>
          </w:p>
        </w:tc>
        <w:tc>
          <w:tcPr>
            <w:tcW w:w="1701" w:type="dxa"/>
            <w:noWrap w:val="0"/>
            <w:vAlign w:val="center"/>
          </w:tcPr>
          <w:p>
            <w:pPr>
              <w:jc w:val="center"/>
            </w:pPr>
            <w:r>
              <w:rPr>
                <w:rFonts w:hint="eastAsia" w:ascii="宋体" w:hAnsi="宋体"/>
                <w:sz w:val="24"/>
                <w:szCs w:val="24"/>
              </w:rPr>
              <w:t>监测频率</w:t>
            </w:r>
          </w:p>
        </w:tc>
        <w:tc>
          <w:tcPr>
            <w:tcW w:w="1701" w:type="dxa"/>
            <w:noWrap w:val="0"/>
            <w:vAlign w:val="center"/>
          </w:tcPr>
          <w:p>
            <w:pPr>
              <w:jc w:val="center"/>
            </w:pPr>
            <w:r>
              <w:rPr>
                <w:rFonts w:hint="eastAsia" w:ascii="宋体" w:hAnsi="宋体"/>
                <w:sz w:val="24"/>
                <w:szCs w:val="24"/>
              </w:rPr>
              <w:t>报送方式</w:t>
            </w:r>
          </w:p>
        </w:tc>
        <w:tc>
          <w:tcPr>
            <w:tcW w:w="1148" w:type="dxa"/>
            <w:noWrap w:val="0"/>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8" w:type="dxa"/>
            <w:noWrap w:val="0"/>
            <w:vAlign w:val="center"/>
          </w:tcPr>
          <w:p>
            <w:pPr>
              <w:jc w:val="center"/>
            </w:pPr>
            <w:r>
              <w:rPr>
                <w:rFonts w:hint="eastAsia"/>
              </w:rPr>
              <w:t>苏州市园林和绿化管理局网站</w:t>
            </w:r>
          </w:p>
        </w:tc>
        <w:tc>
          <w:tcPr>
            <w:tcW w:w="2268" w:type="dxa"/>
            <w:noWrap w:val="0"/>
            <w:vAlign w:val="center"/>
          </w:tcPr>
          <w:p>
            <w:pPr>
              <w:jc w:val="center"/>
            </w:pPr>
            <w:r>
              <w:t>http://ylj.suzhou.gov.cn/</w:t>
            </w:r>
          </w:p>
        </w:tc>
        <w:tc>
          <w:tcPr>
            <w:tcW w:w="1701" w:type="dxa"/>
            <w:noWrap w:val="0"/>
            <w:vAlign w:val="center"/>
          </w:tcPr>
          <w:p>
            <w:pPr>
              <w:jc w:val="center"/>
            </w:pPr>
            <w:r>
              <w:rPr>
                <w:rFonts w:hint="eastAsia" w:ascii="宋体" w:hAnsi="宋体"/>
                <w:sz w:val="24"/>
                <w:szCs w:val="24"/>
              </w:rPr>
              <w:t>每月检测</w:t>
            </w:r>
          </w:p>
        </w:tc>
        <w:tc>
          <w:tcPr>
            <w:tcW w:w="1701" w:type="dxa"/>
            <w:noWrap w:val="0"/>
            <w:vAlign w:val="center"/>
          </w:tcPr>
          <w:p>
            <w:pPr>
              <w:jc w:val="center"/>
            </w:pPr>
            <w:r>
              <w:rPr>
                <w:rFonts w:hint="eastAsia"/>
              </w:rPr>
              <w:t>邮件</w:t>
            </w:r>
          </w:p>
        </w:tc>
        <w:tc>
          <w:tcPr>
            <w:tcW w:w="1148" w:type="dxa"/>
            <w:noWrap w:val="0"/>
            <w:vAlign w:val="center"/>
          </w:tcPr>
          <w:p>
            <w:pPr>
              <w:jc w:val="center"/>
            </w:pPr>
          </w:p>
        </w:tc>
      </w:tr>
    </w:tbl>
    <w:p>
      <w:pPr>
        <w:spacing w:line="600" w:lineRule="exact"/>
        <w:ind w:firstLine="560" w:firstLineChars="200"/>
        <w:jc w:val="left"/>
        <w:rPr>
          <w:rFonts w:hint="eastAsia" w:ascii="宋体" w:hAnsi="宋体"/>
          <w:bCs/>
          <w:sz w:val="28"/>
          <w:szCs w:val="28"/>
        </w:rPr>
      </w:pP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4、网站发展指引检测服务</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每月根据《国务院办公厅关于印发政府网站发展指引的通知》(国办发〔2017〕47号)相关指标要求对</w:t>
      </w:r>
      <w:r>
        <w:rPr>
          <w:rFonts w:hint="eastAsia" w:ascii="宋体" w:hAnsi="宋体"/>
          <w:bCs/>
          <w:sz w:val="28"/>
          <w:szCs w:val="28"/>
          <w:lang w:eastAsia="zh-CN"/>
        </w:rPr>
        <w:t>我局</w:t>
      </w:r>
      <w:r>
        <w:rPr>
          <w:rFonts w:hint="eastAsia" w:ascii="宋体" w:hAnsi="宋体"/>
          <w:bCs/>
          <w:sz w:val="28"/>
          <w:szCs w:val="28"/>
        </w:rPr>
        <w:t>网站进行检测，发现不符合指标要求的问题形成报告，并且协助</w:t>
      </w:r>
      <w:r>
        <w:rPr>
          <w:rFonts w:hint="eastAsia" w:ascii="宋体" w:hAnsi="宋体"/>
          <w:bCs/>
          <w:sz w:val="28"/>
          <w:szCs w:val="28"/>
          <w:lang w:eastAsia="zh-CN"/>
        </w:rPr>
        <w:t>我局</w:t>
      </w:r>
      <w:r>
        <w:rPr>
          <w:rFonts w:hint="eastAsia" w:ascii="宋体" w:hAnsi="宋体"/>
          <w:bCs/>
          <w:sz w:val="28"/>
          <w:szCs w:val="28"/>
        </w:rPr>
        <w:t>网站负责人进行定位给予整改建议。</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5、网站涉密涉敏信息检测服务</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每月对</w:t>
      </w:r>
      <w:r>
        <w:rPr>
          <w:rFonts w:hint="eastAsia" w:ascii="宋体" w:hAnsi="宋体"/>
          <w:bCs/>
          <w:sz w:val="28"/>
          <w:szCs w:val="28"/>
          <w:lang w:eastAsia="zh-CN"/>
        </w:rPr>
        <w:t>我局</w:t>
      </w:r>
      <w:r>
        <w:rPr>
          <w:rFonts w:hint="eastAsia" w:ascii="宋体" w:hAnsi="宋体"/>
          <w:bCs/>
          <w:sz w:val="28"/>
          <w:szCs w:val="28"/>
        </w:rPr>
        <w:t>网站文字内容进行检测并且形成检测严重问题检测报告，具体检测涉及以下相关信息：</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涉及发布带有密级或还在保密期限内的政府文件</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涉及泄露军警机密类信息</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涉及发布暂不宜公开的内部文件</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涉及发布不宜对外公开的各类处置方案、预案</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涉及易引起网络舆情事件类信息</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涉及政府内部及日常性函件类信息</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涉及侵犯公民个人隐私类信息</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涉及公开政府合同类信息</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涉及公开政府领导隐私类信息</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涉及宣传贪腐领导活动信息</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涉及历史重大事件</w:t>
      </w:r>
    </w:p>
    <w:p>
      <w:pPr>
        <w:spacing w:line="600" w:lineRule="exact"/>
        <w:ind w:firstLine="560" w:firstLineChars="200"/>
        <w:jc w:val="left"/>
        <w:rPr>
          <w:rFonts w:hint="eastAsia" w:ascii="宋体" w:hAnsi="宋体"/>
          <w:bCs/>
          <w:sz w:val="28"/>
          <w:szCs w:val="28"/>
        </w:rPr>
      </w:pPr>
      <w:r>
        <w:rPr>
          <w:rFonts w:hint="eastAsia" w:ascii="宋体" w:hAnsi="宋体"/>
          <w:bCs/>
          <w:sz w:val="28"/>
          <w:szCs w:val="28"/>
        </w:rPr>
        <w:t>涉及不文明用语</w:t>
      </w:r>
    </w:p>
    <w:p>
      <w:pPr>
        <w:rPr>
          <w:rFonts w:hint="default" w:ascii="仿宋" w:hAnsi="仿宋" w:eastAsia="仿宋" w:cs="仿宋"/>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firstLine="420"/>
        <w:rPr>
          <w:rFonts w:hint="default" w:ascii="宋体" w:hAnsi="宋体" w:eastAsia="宋体" w:cs="宋体"/>
          <w:i w:val="0"/>
          <w:caps w:val="0"/>
          <w:color w:val="333333"/>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字酷堂郑板桥行书体 (体验版)">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689E"/>
    <w:multiLevelType w:val="multilevel"/>
    <w:tmpl w:val="4575689E"/>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980273"/>
    <w:multiLevelType w:val="multilevel"/>
    <w:tmpl w:val="4D980273"/>
    <w:lvl w:ilvl="0" w:tentative="0">
      <w:start w:val="1"/>
      <w:numFmt w:val="upperLetter"/>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143FF"/>
    <w:rsid w:val="19161270"/>
    <w:rsid w:val="1ED562D4"/>
    <w:rsid w:val="297810E6"/>
    <w:rsid w:val="3C20021B"/>
    <w:rsid w:val="3E2D744B"/>
    <w:rsid w:val="4FE143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2021-03-12T07:16:00Z</dcterms:created>
  <dc:creator>I</dc:creator>
  <cp:lastModifiedBy>I</cp:lastModifiedBy>
  <dcterms:modified xsi:type="dcterms:W3CDTF">2021-03-19T04:48:17Z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