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苏州市202</w:t>
      </w:r>
      <w:r>
        <w:rPr>
          <w:rFonts w:hint="default" w:ascii="Times New Roman" w:hAnsi="Times New Roman" w:eastAsia="黑体" w:cs="Times New Roman"/>
          <w:b/>
          <w:sz w:val="44"/>
          <w:szCs w:val="44"/>
          <w:lang w:val="en-US" w:eastAsia="zh-CN"/>
        </w:rPr>
        <w:t>3</w:t>
      </w:r>
      <w:r>
        <w:rPr>
          <w:rFonts w:hint="default" w:ascii="Times New Roman" w:hAnsi="Times New Roman" w:eastAsia="黑体" w:cs="Times New Roman"/>
          <w:b/>
          <w:sz w:val="44"/>
          <w:szCs w:val="44"/>
        </w:rPr>
        <w:t>年自然保护地资源遥感监测</w:t>
      </w:r>
    </w:p>
    <w:p>
      <w:pPr>
        <w:spacing w:line="24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项目邀标函</w:t>
      </w:r>
    </w:p>
    <w:p>
      <w:pPr>
        <w:keepNext w:val="0"/>
        <w:keepLines w:val="0"/>
        <w:pageBreakBefore w:val="0"/>
        <w:widowControl w:val="0"/>
        <w:tabs>
          <w:tab w:val="left" w:pos="315"/>
          <w:tab w:val="center" w:pos="4153"/>
        </w:tabs>
        <w:kinsoku/>
        <w:wordWrap/>
        <w:overflowPunct/>
        <w:topLinePunct w:val="0"/>
        <w:autoSpaceDE/>
        <w:autoSpaceDN/>
        <w:bidi w:val="0"/>
        <w:adjustRightInd/>
        <w:snapToGrid/>
        <w:spacing w:before="313" w:beforeLines="100" w:after="313" w:afterLines="100" w:line="460" w:lineRule="exact"/>
        <w:jc w:val="center"/>
        <w:textAlignment w:val="auto"/>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一、招标邀请函</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华文仿宋" w:cs="Times New Roman"/>
          <w:color w:val="auto"/>
          <w:sz w:val="28"/>
          <w:szCs w:val="28"/>
          <w:highlight w:val="none"/>
        </w:rPr>
      </w:pPr>
      <w:r>
        <w:rPr>
          <w:rFonts w:hint="default" w:ascii="Times New Roman" w:hAnsi="Times New Roman" w:eastAsia="华文仿宋" w:cs="Times New Roman"/>
          <w:color w:val="auto"/>
          <w:sz w:val="32"/>
          <w:szCs w:val="32"/>
          <w:highlight w:val="none"/>
        </w:rPr>
        <w:t>苏州市园林和绿化管理局拟邀请具有相关条件并有诚意的单位参加苏州市202</w:t>
      </w:r>
      <w:r>
        <w:rPr>
          <w:rFonts w:hint="default" w:ascii="Times New Roman" w:hAnsi="Times New Roman" w:eastAsia="华文仿宋" w:cs="Times New Roman"/>
          <w:color w:val="auto"/>
          <w:sz w:val="32"/>
          <w:szCs w:val="32"/>
          <w:highlight w:val="none"/>
          <w:lang w:val="en-US" w:eastAsia="zh-CN"/>
        </w:rPr>
        <w:t>3</w:t>
      </w:r>
      <w:r>
        <w:rPr>
          <w:rFonts w:hint="default" w:ascii="Times New Roman" w:hAnsi="Times New Roman" w:eastAsia="华文仿宋" w:cs="Times New Roman"/>
          <w:color w:val="auto"/>
          <w:sz w:val="32"/>
          <w:szCs w:val="32"/>
          <w:highlight w:val="none"/>
        </w:rPr>
        <w:t>年自然保护地资源遥感监测项目招标采购。</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采购项目简介：</w:t>
      </w:r>
    </w:p>
    <w:p>
      <w:pPr>
        <w:keepNext w:val="0"/>
        <w:keepLines w:val="0"/>
        <w:pageBreakBefore w:val="0"/>
        <w:widowControl w:val="0"/>
        <w:numPr>
          <w:ilvl w:val="0"/>
          <w:numId w:val="2"/>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lang w:val="en-US" w:eastAsia="zh-CN"/>
        </w:rPr>
        <w:t>监测</w:t>
      </w:r>
      <w:r>
        <w:rPr>
          <w:rFonts w:hint="default" w:ascii="Times New Roman" w:hAnsi="Times New Roman" w:eastAsia="华文仿宋" w:cs="Times New Roman"/>
          <w:color w:val="auto"/>
          <w:sz w:val="32"/>
          <w:szCs w:val="32"/>
          <w:highlight w:val="none"/>
        </w:rPr>
        <w:t>内容：</w:t>
      </w:r>
      <w:r>
        <w:rPr>
          <w:rFonts w:hint="default" w:ascii="Times New Roman" w:hAnsi="Times New Roman" w:eastAsia="华文仿宋" w:cs="Times New Roman"/>
          <w:color w:val="auto"/>
          <w:sz w:val="32"/>
          <w:szCs w:val="32"/>
          <w:highlight w:val="none"/>
          <w:lang w:val="en-US" w:eastAsia="zh-CN"/>
        </w:rPr>
        <w:t>利用</w:t>
      </w:r>
      <w:r>
        <w:rPr>
          <w:rFonts w:hint="eastAsia" w:ascii="Times New Roman" w:hAnsi="Times New Roman" w:eastAsia="华文仿宋" w:cs="Times New Roman"/>
          <w:color w:val="auto"/>
          <w:sz w:val="32"/>
          <w:szCs w:val="32"/>
          <w:highlight w:val="none"/>
          <w:lang w:val="en-US" w:eastAsia="zh-CN"/>
        </w:rPr>
        <w:t>卫星</w:t>
      </w:r>
      <w:r>
        <w:rPr>
          <w:rFonts w:hint="default" w:ascii="Times New Roman" w:hAnsi="Times New Roman" w:eastAsia="华文仿宋" w:cs="Times New Roman"/>
          <w:color w:val="auto"/>
          <w:sz w:val="32"/>
          <w:szCs w:val="32"/>
          <w:highlight w:val="none"/>
        </w:rPr>
        <w:t>遥感技术</w:t>
      </w:r>
      <w:r>
        <w:rPr>
          <w:rFonts w:hint="default" w:ascii="Times New Roman" w:hAnsi="Times New Roman" w:eastAsia="华文仿宋" w:cs="Times New Roman"/>
          <w:color w:val="auto"/>
          <w:sz w:val="32"/>
          <w:szCs w:val="32"/>
          <w:highlight w:val="none"/>
          <w:lang w:val="en-US" w:eastAsia="zh-CN"/>
        </w:rPr>
        <w:t>开展</w:t>
      </w:r>
      <w:r>
        <w:rPr>
          <w:rFonts w:hint="default" w:ascii="Times New Roman" w:hAnsi="Times New Roman" w:eastAsia="华文仿宋" w:cs="Times New Roman"/>
          <w:color w:val="auto"/>
          <w:sz w:val="32"/>
          <w:szCs w:val="32"/>
          <w:highlight w:val="none"/>
        </w:rPr>
        <w:t>自然保护地资源</w:t>
      </w:r>
      <w:r>
        <w:rPr>
          <w:rFonts w:hint="default" w:ascii="Times New Roman" w:hAnsi="Times New Roman" w:eastAsia="华文仿宋" w:cs="Times New Roman"/>
          <w:color w:val="auto"/>
          <w:sz w:val="32"/>
          <w:szCs w:val="32"/>
          <w:highlight w:val="none"/>
          <w:lang w:val="en-US" w:eastAsia="zh-CN"/>
        </w:rPr>
        <w:t>的</w:t>
      </w:r>
      <w:r>
        <w:rPr>
          <w:rFonts w:hint="default" w:ascii="Times New Roman" w:hAnsi="Times New Roman" w:eastAsia="华文仿宋" w:cs="Times New Roman"/>
          <w:color w:val="auto"/>
          <w:sz w:val="32"/>
          <w:szCs w:val="32"/>
          <w:highlight w:val="none"/>
        </w:rPr>
        <w:t>动态监测，</w:t>
      </w:r>
      <w:r>
        <w:rPr>
          <w:rFonts w:hint="default" w:ascii="Times New Roman" w:hAnsi="Times New Roman" w:eastAsia="华文仿宋" w:cs="Times New Roman"/>
          <w:color w:val="auto"/>
          <w:sz w:val="32"/>
          <w:szCs w:val="32"/>
          <w:highlight w:val="none"/>
          <w:lang w:val="en-US" w:eastAsia="zh-CN"/>
        </w:rPr>
        <w:t>识别筛选疑似变化区域、</w:t>
      </w:r>
      <w:r>
        <w:rPr>
          <w:rFonts w:hint="eastAsia" w:ascii="Times New Roman" w:hAnsi="Times New Roman" w:eastAsia="华文仿宋" w:cs="Times New Roman"/>
          <w:color w:val="auto"/>
          <w:sz w:val="32"/>
          <w:szCs w:val="32"/>
          <w:highlight w:val="none"/>
          <w:lang w:val="en-US" w:eastAsia="zh-CN"/>
        </w:rPr>
        <w:t>研判变化区域类型、</w:t>
      </w:r>
      <w:r>
        <w:rPr>
          <w:rFonts w:hint="default" w:ascii="Times New Roman" w:hAnsi="Times New Roman" w:eastAsia="华文仿宋" w:cs="Times New Roman"/>
          <w:color w:val="auto"/>
          <w:sz w:val="32"/>
          <w:szCs w:val="32"/>
          <w:highlight w:val="none"/>
          <w:lang w:val="en-US" w:eastAsia="zh-CN"/>
        </w:rPr>
        <w:t>持续跟踪变化区域动态，</w:t>
      </w:r>
      <w:r>
        <w:rPr>
          <w:rFonts w:hint="default" w:ascii="Times New Roman" w:hAnsi="Times New Roman" w:eastAsia="华文仿宋" w:cs="Times New Roman"/>
          <w:color w:val="auto"/>
          <w:sz w:val="32"/>
          <w:szCs w:val="32"/>
          <w:highlight w:val="none"/>
        </w:rPr>
        <w:t>掌握自然保护地内资源变化及人类活动情况，建立自然保护地变化图斑台账，形成监测报告</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监测对象：苏州市省级以上自然保护区、风景名胜区和地质公园</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监测频率：每季度一次，全年</w:t>
      </w:r>
      <w:r>
        <w:rPr>
          <w:rFonts w:hint="eastAsia" w:ascii="Times New Roman" w:hAnsi="Times New Roman" w:eastAsia="华文仿宋" w:cs="Times New Roman"/>
          <w:color w:val="auto"/>
          <w:sz w:val="32"/>
          <w:szCs w:val="32"/>
          <w:highlight w:val="none"/>
          <w:lang w:val="en-US" w:eastAsia="zh-CN"/>
        </w:rPr>
        <w:t>共</w:t>
      </w:r>
      <w:r>
        <w:rPr>
          <w:rFonts w:hint="default" w:ascii="Times New Roman" w:hAnsi="Times New Roman" w:eastAsia="华文仿宋" w:cs="Times New Roman"/>
          <w:color w:val="auto"/>
          <w:sz w:val="32"/>
          <w:szCs w:val="32"/>
          <w:highlight w:val="none"/>
        </w:rPr>
        <w:t>四次</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服务期限：202</w:t>
      </w:r>
      <w:r>
        <w:rPr>
          <w:rFonts w:hint="default" w:ascii="Times New Roman" w:hAnsi="Times New Roman" w:eastAsia="华文仿宋" w:cs="Times New Roman"/>
          <w:color w:val="auto"/>
          <w:sz w:val="32"/>
          <w:szCs w:val="32"/>
          <w:highlight w:val="none"/>
          <w:lang w:val="en-US" w:eastAsia="zh-CN"/>
        </w:rPr>
        <w:t>3</w:t>
      </w:r>
      <w:r>
        <w:rPr>
          <w:rFonts w:hint="default" w:ascii="Times New Roman" w:hAnsi="Times New Roman" w:eastAsia="华文仿宋" w:cs="Times New Roman"/>
          <w:color w:val="auto"/>
          <w:sz w:val="32"/>
          <w:szCs w:val="32"/>
          <w:highlight w:val="none"/>
        </w:rPr>
        <w:t>年1月—202</w:t>
      </w:r>
      <w:r>
        <w:rPr>
          <w:rFonts w:hint="default" w:ascii="Times New Roman" w:hAnsi="Times New Roman" w:eastAsia="华文仿宋" w:cs="Times New Roman"/>
          <w:color w:val="auto"/>
          <w:sz w:val="32"/>
          <w:szCs w:val="32"/>
          <w:highlight w:val="none"/>
          <w:lang w:val="en-US" w:eastAsia="zh-CN"/>
        </w:rPr>
        <w:t>3</w:t>
      </w:r>
      <w:r>
        <w:rPr>
          <w:rFonts w:hint="default" w:ascii="Times New Roman" w:hAnsi="Times New Roman" w:eastAsia="华文仿宋" w:cs="Times New Roman"/>
          <w:color w:val="auto"/>
          <w:sz w:val="32"/>
          <w:szCs w:val="32"/>
          <w:highlight w:val="none"/>
        </w:rPr>
        <w:t>年12月</w:t>
      </w:r>
      <w:r>
        <w:rPr>
          <w:rFonts w:hint="default"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采购项目预算:</w:t>
      </w:r>
      <w:r>
        <w:rPr>
          <w:rFonts w:hint="eastAsia" w:ascii="Times New Roman" w:hAnsi="Times New Roman" w:eastAsia="黑体" w:cs="Times New Roman"/>
          <w:color w:val="auto"/>
          <w:sz w:val="30"/>
          <w:szCs w:val="30"/>
          <w:highlight w:val="none"/>
          <w:lang w:val="en-US" w:eastAsia="zh-CN"/>
        </w:rPr>
        <w:t xml:space="preserve"> </w:t>
      </w:r>
      <w:r>
        <w:rPr>
          <w:rFonts w:hint="default" w:ascii="Times New Roman" w:hAnsi="Times New Roman" w:eastAsia="黑体" w:cs="Times New Roman"/>
          <w:color w:val="auto"/>
          <w:sz w:val="30"/>
          <w:szCs w:val="30"/>
          <w:highlight w:val="none"/>
        </w:rPr>
        <w:t>19.5 万元</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资格条件要求：</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具有独立承担民事责任的能力</w:t>
      </w:r>
      <w:r>
        <w:rPr>
          <w:rFonts w:hint="default"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具有良好的商业信誉和健全的财务会计制度</w:t>
      </w:r>
      <w:r>
        <w:rPr>
          <w:rFonts w:hint="default"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具有履行合同所必须的设备和专业技术能力</w:t>
      </w:r>
      <w:r>
        <w:rPr>
          <w:rFonts w:hint="default"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有依法缴纳税收和社会保障资金的良好记录</w:t>
      </w:r>
      <w:r>
        <w:rPr>
          <w:rFonts w:hint="default"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lang w:val="en-US" w:eastAsia="zh-CN"/>
        </w:rPr>
        <w:t>参加采购活动前三年内</w:t>
      </w:r>
      <w:r>
        <w:rPr>
          <w:rFonts w:hint="default" w:ascii="Times New Roman" w:hAnsi="Times New Roman" w:eastAsia="华文仿宋" w:cs="Times New Roman"/>
          <w:color w:val="auto"/>
          <w:sz w:val="32"/>
          <w:szCs w:val="32"/>
          <w:highlight w:val="none"/>
        </w:rPr>
        <w:t>，在经营活动中没有重大违法记录，符合相关法律法规规定的其他条件</w:t>
      </w:r>
      <w:r>
        <w:rPr>
          <w:rFonts w:hint="default"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参加采购活动前两年内有类似服务经验</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3"/>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eastAsia" w:ascii="Times New Roman" w:hAnsi="Times New Roman" w:eastAsia="华文仿宋" w:cs="Times New Roman"/>
          <w:color w:val="auto"/>
          <w:sz w:val="32"/>
          <w:szCs w:val="32"/>
          <w:highlight w:val="none"/>
          <w:lang w:val="en-US" w:eastAsia="zh-CN"/>
        </w:rPr>
        <w:t xml:space="preserve"> </w:t>
      </w:r>
      <w:r>
        <w:rPr>
          <w:rFonts w:hint="default" w:ascii="Times New Roman" w:hAnsi="Times New Roman" w:eastAsia="华文仿宋" w:cs="Times New Roman"/>
          <w:color w:val="auto"/>
          <w:sz w:val="32"/>
          <w:szCs w:val="32"/>
          <w:highlight w:val="none"/>
        </w:rPr>
        <w:t>本项目不接受联合体投标。</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报名资料及要求：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单位《营业执照》副本复印件；</w:t>
      </w:r>
    </w:p>
    <w:p>
      <w:pPr>
        <w:keepNext w:val="0"/>
        <w:keepLines w:val="0"/>
        <w:pageBreakBefore w:val="0"/>
        <w:widowControl w:val="0"/>
        <w:numPr>
          <w:ilvl w:val="0"/>
          <w:numId w:val="4"/>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法人代表身份证复印件；</w:t>
      </w:r>
    </w:p>
    <w:p>
      <w:pPr>
        <w:keepNext w:val="0"/>
        <w:keepLines w:val="0"/>
        <w:pageBreakBefore w:val="0"/>
        <w:widowControl w:val="0"/>
        <w:numPr>
          <w:ilvl w:val="0"/>
          <w:numId w:val="4"/>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报价单，超出预算报价，</w:t>
      </w:r>
      <w:r>
        <w:rPr>
          <w:rFonts w:hint="eastAsia" w:ascii="Times New Roman" w:hAnsi="Times New Roman" w:eastAsia="华文仿宋" w:cs="Times New Roman"/>
          <w:color w:val="auto"/>
          <w:sz w:val="32"/>
          <w:szCs w:val="32"/>
          <w:highlight w:val="none"/>
          <w:lang w:val="en-US" w:eastAsia="zh-CN"/>
        </w:rPr>
        <w:t>作</w:t>
      </w:r>
      <w:r>
        <w:rPr>
          <w:rFonts w:hint="default" w:ascii="Times New Roman" w:hAnsi="Times New Roman" w:eastAsia="华文仿宋" w:cs="Times New Roman"/>
          <w:color w:val="auto"/>
          <w:sz w:val="32"/>
          <w:szCs w:val="32"/>
          <w:highlight w:val="none"/>
        </w:rPr>
        <w:t>废标处理；</w:t>
      </w:r>
    </w:p>
    <w:p>
      <w:pPr>
        <w:keepNext w:val="0"/>
        <w:keepLines w:val="0"/>
        <w:pageBreakBefore w:val="0"/>
        <w:widowControl w:val="0"/>
        <w:numPr>
          <w:ilvl w:val="0"/>
          <w:numId w:val="4"/>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三年内在经营活动中没有重大违法记录的承诺书；</w:t>
      </w:r>
    </w:p>
    <w:p>
      <w:pPr>
        <w:keepNext w:val="0"/>
        <w:keepLines w:val="0"/>
        <w:pageBreakBefore w:val="0"/>
        <w:widowControl w:val="0"/>
        <w:numPr>
          <w:ilvl w:val="0"/>
          <w:numId w:val="4"/>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lang w:val="en-US" w:eastAsia="zh-CN"/>
        </w:rPr>
        <w:t>项目实施方案；</w:t>
      </w:r>
    </w:p>
    <w:p>
      <w:pPr>
        <w:keepNext w:val="0"/>
        <w:keepLines w:val="0"/>
        <w:pageBreakBefore w:val="0"/>
        <w:widowControl w:val="0"/>
        <w:numPr>
          <w:ilvl w:val="0"/>
          <w:numId w:val="4"/>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sz w:val="32"/>
          <w:szCs w:val="32"/>
        </w:rPr>
        <w:t>相关项目业绩等证明材料；</w:t>
      </w:r>
      <w:bookmarkStart w:id="0" w:name="_GoBack"/>
      <w:bookmarkEnd w:id="0"/>
    </w:p>
    <w:p>
      <w:pPr>
        <w:keepNext w:val="0"/>
        <w:keepLines w:val="0"/>
        <w:pageBreakBefore w:val="0"/>
        <w:widowControl w:val="0"/>
        <w:numPr>
          <w:ilvl w:val="0"/>
          <w:numId w:val="4"/>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以上所有报名资料复印件均需加盖公章。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黑体" w:cs="Times New Roman"/>
          <w:color w:val="auto"/>
          <w:sz w:val="30"/>
          <w:szCs w:val="30"/>
          <w:highlight w:val="none"/>
        </w:rPr>
        <w:t>报名时间</w:t>
      </w:r>
      <w:r>
        <w:rPr>
          <w:rFonts w:hint="default" w:ascii="Times New Roman" w:hAnsi="Times New Roman" w:eastAsia="黑体" w:cs="Times New Roman"/>
          <w:color w:val="auto"/>
          <w:sz w:val="30"/>
          <w:szCs w:val="30"/>
          <w:highlight w:val="none"/>
          <w:lang w:eastAsia="zh-CN"/>
        </w:rPr>
        <w:t>：</w:t>
      </w:r>
      <w:r>
        <w:rPr>
          <w:rFonts w:hint="default" w:ascii="Times New Roman" w:hAnsi="Times New Roman" w:eastAsia="华文仿宋" w:cs="Times New Roman"/>
          <w:color w:val="auto"/>
          <w:sz w:val="32"/>
          <w:szCs w:val="32"/>
          <w:highlight w:val="none"/>
        </w:rPr>
        <w:t>202</w:t>
      </w:r>
      <w:r>
        <w:rPr>
          <w:rFonts w:hint="default" w:ascii="Times New Roman" w:hAnsi="Times New Roman" w:eastAsia="华文仿宋" w:cs="Times New Roman"/>
          <w:color w:val="auto"/>
          <w:sz w:val="32"/>
          <w:szCs w:val="32"/>
          <w:highlight w:val="none"/>
          <w:lang w:val="en-US" w:eastAsia="zh-CN"/>
        </w:rPr>
        <w:t>3</w:t>
      </w:r>
      <w:r>
        <w:rPr>
          <w:rFonts w:hint="default" w:ascii="Times New Roman" w:hAnsi="Times New Roman" w:eastAsia="华文仿宋" w:cs="Times New Roman"/>
          <w:color w:val="auto"/>
          <w:sz w:val="32"/>
          <w:szCs w:val="32"/>
          <w:highlight w:val="none"/>
        </w:rPr>
        <w:t>年1月</w:t>
      </w:r>
      <w:r>
        <w:rPr>
          <w:rFonts w:hint="eastAsia" w:ascii="Times New Roman" w:hAnsi="Times New Roman" w:eastAsia="华文仿宋" w:cs="Times New Roman"/>
          <w:color w:val="auto"/>
          <w:sz w:val="32"/>
          <w:szCs w:val="32"/>
          <w:highlight w:val="none"/>
          <w:lang w:val="en-US" w:eastAsia="zh-CN"/>
        </w:rPr>
        <w:t>6</w:t>
      </w:r>
      <w:r>
        <w:rPr>
          <w:rFonts w:hint="default" w:ascii="Times New Roman" w:hAnsi="Times New Roman" w:eastAsia="华文仿宋" w:cs="Times New Roman"/>
          <w:color w:val="auto"/>
          <w:sz w:val="32"/>
          <w:szCs w:val="32"/>
          <w:highlight w:val="none"/>
        </w:rPr>
        <w:t>日—</w:t>
      </w:r>
      <w:r>
        <w:rPr>
          <w:rFonts w:hint="default" w:ascii="Times New Roman" w:hAnsi="Times New Roman" w:eastAsia="华文仿宋" w:cs="Times New Roman"/>
          <w:color w:val="auto"/>
          <w:sz w:val="32"/>
          <w:szCs w:val="32"/>
          <w:highlight w:val="none"/>
          <w:lang w:val="en-US" w:eastAsia="zh-CN"/>
        </w:rPr>
        <w:t>1</w:t>
      </w:r>
      <w:r>
        <w:rPr>
          <w:rFonts w:hint="default" w:ascii="Times New Roman" w:hAnsi="Times New Roman" w:eastAsia="华文仿宋" w:cs="Times New Roman"/>
          <w:color w:val="auto"/>
          <w:sz w:val="32"/>
          <w:szCs w:val="32"/>
          <w:highlight w:val="none"/>
        </w:rPr>
        <w:t>月</w:t>
      </w:r>
      <w:r>
        <w:rPr>
          <w:rFonts w:hint="eastAsia" w:ascii="Times New Roman" w:hAnsi="Times New Roman" w:eastAsia="华文仿宋" w:cs="Times New Roman"/>
          <w:color w:val="auto"/>
          <w:sz w:val="32"/>
          <w:szCs w:val="32"/>
          <w:highlight w:val="none"/>
          <w:lang w:val="en-US" w:eastAsia="zh-CN"/>
        </w:rPr>
        <w:t>11</w:t>
      </w:r>
      <w:r>
        <w:rPr>
          <w:rFonts w:hint="default" w:ascii="Times New Roman" w:hAnsi="Times New Roman" w:eastAsia="华文仿宋" w:cs="Times New Roman"/>
          <w:color w:val="auto"/>
          <w:sz w:val="32"/>
          <w:szCs w:val="32"/>
          <w:highlight w:val="none"/>
          <w:lang w:val="en-US" w:eastAsia="zh-CN"/>
        </w:rPr>
        <w:t xml:space="preserve"> </w:t>
      </w:r>
      <w:r>
        <w:rPr>
          <w:rFonts w:hint="default" w:ascii="Times New Roman" w:hAnsi="Times New Roman" w:eastAsia="华文仿宋" w:cs="Times New Roman"/>
          <w:color w:val="auto"/>
          <w:sz w:val="32"/>
          <w:szCs w:val="32"/>
          <w:highlight w:val="none"/>
        </w:rPr>
        <w:t>日</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投标、开标、评标</w:t>
      </w:r>
      <w:r>
        <w:rPr>
          <w:rFonts w:hint="default" w:ascii="Times New Roman" w:hAnsi="Times New Roman" w:eastAsia="黑体" w:cs="Times New Roman"/>
          <w:color w:val="auto"/>
          <w:sz w:val="30"/>
          <w:szCs w:val="30"/>
          <w:highlight w:val="none"/>
          <w:lang w:eastAsia="zh-CN"/>
        </w:rPr>
        <w:t>：</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供应商根据我单位采购服务要求，提供一次性书面报价、清单、服务承诺等材料；</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投标文件递交截止时间：202</w:t>
      </w:r>
      <w:r>
        <w:rPr>
          <w:rFonts w:hint="default" w:ascii="Times New Roman" w:hAnsi="Times New Roman" w:eastAsia="华文仿宋" w:cs="Times New Roman"/>
          <w:color w:val="auto"/>
          <w:sz w:val="32"/>
          <w:szCs w:val="32"/>
          <w:highlight w:val="none"/>
          <w:lang w:val="en-US" w:eastAsia="zh-CN"/>
        </w:rPr>
        <w:t>3</w:t>
      </w:r>
      <w:r>
        <w:rPr>
          <w:rFonts w:hint="default" w:ascii="Times New Roman" w:hAnsi="Times New Roman" w:eastAsia="华文仿宋" w:cs="Times New Roman"/>
          <w:color w:val="auto"/>
          <w:sz w:val="32"/>
          <w:szCs w:val="32"/>
          <w:highlight w:val="none"/>
        </w:rPr>
        <w:t>年</w:t>
      </w:r>
      <w:r>
        <w:rPr>
          <w:rFonts w:hint="default" w:ascii="Times New Roman" w:hAnsi="Times New Roman" w:eastAsia="华文仿宋" w:cs="Times New Roman"/>
          <w:color w:val="auto"/>
          <w:sz w:val="32"/>
          <w:szCs w:val="32"/>
          <w:highlight w:val="none"/>
          <w:lang w:val="en-US" w:eastAsia="zh-CN"/>
        </w:rPr>
        <w:t>1</w:t>
      </w:r>
      <w:r>
        <w:rPr>
          <w:rFonts w:hint="default" w:ascii="Times New Roman" w:hAnsi="Times New Roman" w:eastAsia="华文仿宋" w:cs="Times New Roman"/>
          <w:color w:val="auto"/>
          <w:sz w:val="32"/>
          <w:szCs w:val="32"/>
          <w:highlight w:val="none"/>
        </w:rPr>
        <w:t xml:space="preserve"> 月</w:t>
      </w:r>
      <w:r>
        <w:rPr>
          <w:rFonts w:hint="default" w:ascii="Times New Roman" w:hAnsi="Times New Roman" w:eastAsia="华文仿宋" w:cs="Times New Roman"/>
          <w:color w:val="auto"/>
          <w:sz w:val="32"/>
          <w:szCs w:val="32"/>
          <w:highlight w:val="none"/>
          <w:lang w:val="en-US" w:eastAsia="zh-CN"/>
        </w:rPr>
        <w:t xml:space="preserve"> </w:t>
      </w:r>
      <w:r>
        <w:rPr>
          <w:rFonts w:hint="eastAsia" w:ascii="Times New Roman" w:hAnsi="Times New Roman" w:eastAsia="华文仿宋" w:cs="Times New Roman"/>
          <w:color w:val="auto"/>
          <w:sz w:val="32"/>
          <w:szCs w:val="32"/>
          <w:highlight w:val="none"/>
          <w:lang w:val="en-US" w:eastAsia="zh-CN"/>
        </w:rPr>
        <w:t>11</w:t>
      </w:r>
      <w:r>
        <w:rPr>
          <w:rFonts w:hint="default" w:ascii="Times New Roman" w:hAnsi="Times New Roman" w:eastAsia="华文仿宋" w:cs="Times New Roman"/>
          <w:color w:val="auto"/>
          <w:sz w:val="32"/>
          <w:szCs w:val="32"/>
          <w:highlight w:val="none"/>
          <w:lang w:val="en-US" w:eastAsia="zh-CN"/>
        </w:rPr>
        <w:t xml:space="preserve"> </w:t>
      </w:r>
      <w:r>
        <w:rPr>
          <w:rFonts w:hint="default" w:ascii="Times New Roman" w:hAnsi="Times New Roman" w:eastAsia="华文仿宋" w:cs="Times New Roman"/>
          <w:color w:val="auto"/>
          <w:sz w:val="32"/>
          <w:szCs w:val="32"/>
          <w:highlight w:val="none"/>
        </w:rPr>
        <w:t>日17:00</w:t>
      </w:r>
      <w:r>
        <w:rPr>
          <w:rFonts w:hint="eastAsia" w:ascii="Times New Roman" w:hAnsi="Times New Roman" w:eastAsia="华文仿宋" w:cs="Times New Roman"/>
          <w:color w:val="auto"/>
          <w:sz w:val="32"/>
          <w:szCs w:val="32"/>
          <w:highlight w:val="none"/>
          <w:lang w:val="en-US" w:eastAsia="zh-CN"/>
        </w:rPr>
        <w:t xml:space="preserve"> </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投标地点：苏州市园林和绿化管理局自然保护地管理处（苏州市姑苏区公园路255号一楼109室）</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投标联系人：马芳芳   联系电话：</w:t>
      </w:r>
      <w:r>
        <w:rPr>
          <w:rFonts w:hint="eastAsia" w:ascii="Times New Roman" w:hAnsi="Times New Roman" w:eastAsia="华文仿宋" w:cs="Times New Roman"/>
          <w:color w:val="auto"/>
          <w:sz w:val="32"/>
          <w:szCs w:val="32"/>
          <w:highlight w:val="none"/>
          <w:lang w:val="en-US" w:eastAsia="zh-CN"/>
        </w:rPr>
        <w:t>0512-</w:t>
      </w:r>
      <w:r>
        <w:rPr>
          <w:rFonts w:hint="default" w:ascii="Times New Roman" w:hAnsi="Times New Roman" w:eastAsia="华文仿宋" w:cs="Times New Roman"/>
          <w:color w:val="auto"/>
          <w:sz w:val="32"/>
          <w:szCs w:val="32"/>
          <w:highlight w:val="none"/>
        </w:rPr>
        <w:t xml:space="preserve">65246237 </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开标地点：苏州市园林和绿化管理局二号会议室</w:t>
      </w:r>
      <w:r>
        <w:rPr>
          <w:rFonts w:hint="eastAsia" w:ascii="Times New Roman" w:hAnsi="Times New Roman" w:eastAsia="华文仿宋" w:cs="Times New Roman"/>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评标原则：</w:t>
      </w:r>
      <w:r>
        <w:rPr>
          <w:rFonts w:hint="eastAsia" w:ascii="华文仿宋" w:hAnsi="华文仿宋" w:eastAsia="华文仿宋"/>
          <w:color w:val="auto"/>
          <w:sz w:val="32"/>
          <w:szCs w:val="32"/>
          <w:highlight w:val="none"/>
        </w:rPr>
        <w:t>在符合响应资格条件的情况下，以项目清单总报价最低的单位为中标单位</w:t>
      </w:r>
    </w:p>
    <w:p>
      <w:pPr>
        <w:keepNext w:val="0"/>
        <w:keepLines w:val="0"/>
        <w:pageBreakBefore w:val="0"/>
        <w:widowControl w:val="0"/>
        <w:numPr>
          <w:ilvl w:val="0"/>
          <w:numId w:val="5"/>
        </w:numPr>
        <w:kinsoku/>
        <w:wordWrap/>
        <w:overflowPunct/>
        <w:topLinePunct w:val="0"/>
        <w:autoSpaceDE/>
        <w:autoSpaceDN/>
        <w:bidi w:val="0"/>
        <w:spacing w:line="500" w:lineRule="exact"/>
        <w:ind w:left="425" w:leftChars="0" w:hanging="425" w:firstLineChars="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标书密封要求：所有材料请一式两份统一密封</w:t>
      </w:r>
      <w:r>
        <w:rPr>
          <w:rFonts w:hint="eastAsia" w:ascii="Times New Roman" w:hAnsi="Times New Roman" w:eastAsia="华文仿宋" w:cs="Times New Roman"/>
          <w:color w:val="auto"/>
          <w:sz w:val="32"/>
          <w:szCs w:val="32"/>
          <w:highlight w:val="none"/>
          <w:lang w:val="en-US" w:eastAsia="zh-CN"/>
        </w:rPr>
        <w:t>递交</w:t>
      </w:r>
      <w:r>
        <w:rPr>
          <w:rFonts w:hint="default" w:ascii="Times New Roman" w:hAnsi="Times New Roman" w:eastAsia="华文仿宋"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00" w:lineRule="exact"/>
        <w:ind w:firstLine="4480" w:firstLineChars="1400"/>
        <w:textAlignment w:val="auto"/>
        <w:rPr>
          <w:rFonts w:hint="default" w:ascii="Times New Roman" w:hAnsi="Times New Roman" w:eastAsia="华文仿宋"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00" w:lineRule="exact"/>
        <w:ind w:firstLine="4480" w:firstLineChars="1400"/>
        <w:textAlignment w:val="auto"/>
        <w:rPr>
          <w:rFonts w:hint="default" w:ascii="Times New Roman" w:hAnsi="Times New Roman" w:eastAsia="华文仿宋"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00" w:lineRule="exact"/>
        <w:ind w:firstLine="4480" w:firstLineChars="140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苏州市园林和绿化管理局</w:t>
      </w:r>
    </w:p>
    <w:p>
      <w:pPr>
        <w:keepNext w:val="0"/>
        <w:keepLines w:val="0"/>
        <w:pageBreakBefore w:val="0"/>
        <w:widowControl w:val="0"/>
        <w:kinsoku/>
        <w:wordWrap/>
        <w:overflowPunct/>
        <w:topLinePunct w:val="0"/>
        <w:autoSpaceDE/>
        <w:autoSpaceDN/>
        <w:bidi w:val="0"/>
        <w:spacing w:line="500" w:lineRule="exact"/>
        <w:ind w:firstLine="4960" w:firstLineChars="1550"/>
        <w:textAlignment w:val="auto"/>
        <w:rPr>
          <w:rFonts w:hint="default" w:ascii="Times New Roman" w:hAnsi="Times New Roman" w:eastAsia="华文仿宋" w:cs="Times New Roman"/>
          <w:color w:val="auto"/>
          <w:sz w:val="32"/>
          <w:szCs w:val="32"/>
          <w:highlight w:val="none"/>
        </w:rPr>
      </w:pPr>
      <w:r>
        <w:rPr>
          <w:rFonts w:hint="default" w:ascii="Times New Roman" w:hAnsi="Times New Roman" w:eastAsia="华文仿宋" w:cs="Times New Roman"/>
          <w:color w:val="auto"/>
          <w:sz w:val="32"/>
          <w:szCs w:val="32"/>
          <w:highlight w:val="none"/>
        </w:rPr>
        <w:t>202</w:t>
      </w:r>
      <w:r>
        <w:rPr>
          <w:rFonts w:hint="default" w:ascii="Times New Roman" w:hAnsi="Times New Roman" w:eastAsia="华文仿宋" w:cs="Times New Roman"/>
          <w:color w:val="auto"/>
          <w:sz w:val="32"/>
          <w:szCs w:val="32"/>
          <w:highlight w:val="none"/>
          <w:lang w:val="en-US" w:eastAsia="zh-CN"/>
        </w:rPr>
        <w:t>3</w:t>
      </w:r>
      <w:r>
        <w:rPr>
          <w:rFonts w:hint="default" w:ascii="Times New Roman" w:hAnsi="Times New Roman" w:eastAsia="华文仿宋" w:cs="Times New Roman"/>
          <w:color w:val="auto"/>
          <w:sz w:val="32"/>
          <w:szCs w:val="32"/>
          <w:highlight w:val="none"/>
        </w:rPr>
        <w:t xml:space="preserve">年 1 月 </w:t>
      </w:r>
      <w:r>
        <w:rPr>
          <w:rFonts w:hint="eastAsia" w:ascii="Times New Roman" w:hAnsi="Times New Roman" w:eastAsia="华文仿宋" w:cs="Times New Roman"/>
          <w:color w:val="auto"/>
          <w:sz w:val="32"/>
          <w:szCs w:val="32"/>
          <w:highlight w:val="none"/>
          <w:lang w:val="en-US" w:eastAsia="zh-CN"/>
        </w:rPr>
        <w:t>5</w:t>
      </w:r>
      <w:r>
        <w:rPr>
          <w:rFonts w:hint="default" w:ascii="Times New Roman" w:hAnsi="Times New Roman" w:eastAsia="华文仿宋" w:cs="Times New Roman"/>
          <w:color w:val="auto"/>
          <w:sz w:val="32"/>
          <w:szCs w:val="32"/>
          <w:highlight w:val="none"/>
          <w:lang w:val="en-US" w:eastAsia="zh-CN"/>
        </w:rPr>
        <w:t xml:space="preserve"> </w:t>
      </w:r>
      <w:r>
        <w:rPr>
          <w:rFonts w:hint="default" w:ascii="Times New Roman" w:hAnsi="Times New Roman" w:eastAsia="华文仿宋" w:cs="Times New Roman"/>
          <w:color w:val="auto"/>
          <w:sz w:val="32"/>
          <w:szCs w:val="32"/>
          <w:highlight w:val="none"/>
        </w:rPr>
        <w:t>日</w:t>
      </w:r>
    </w:p>
    <w:p>
      <w:pPr>
        <w:rPr>
          <w:rFonts w:hint="default" w:ascii="Times New Roman" w:hAnsi="Times New Roman" w:cs="Times New Roman" w:eastAsiaTheme="majorEastAsia"/>
          <w:b/>
          <w:color w:val="auto"/>
          <w:spacing w:val="-16"/>
          <w:sz w:val="44"/>
          <w:szCs w:val="44"/>
          <w:highlight w:val="none"/>
        </w:rPr>
      </w:pPr>
      <w:r>
        <w:rPr>
          <w:rFonts w:hint="default" w:ascii="Times New Roman" w:hAnsi="Times New Roman" w:cs="Times New Roman" w:eastAsiaTheme="majorEastAsia"/>
          <w:b/>
          <w:color w:val="auto"/>
          <w:spacing w:val="-16"/>
          <w:sz w:val="44"/>
          <w:szCs w:val="44"/>
          <w:highlight w:val="none"/>
        </w:rPr>
        <w:br w:type="page"/>
      </w:r>
    </w:p>
    <w:p>
      <w:pPr>
        <w:keepNext w:val="0"/>
        <w:keepLines w:val="0"/>
        <w:pageBreakBefore w:val="0"/>
        <w:widowControl w:val="0"/>
        <w:tabs>
          <w:tab w:val="left" w:pos="315"/>
          <w:tab w:val="center" w:pos="4153"/>
        </w:tabs>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黑体" w:cs="Times New Roman"/>
          <w:b/>
          <w:color w:val="auto"/>
          <w:sz w:val="36"/>
          <w:szCs w:val="36"/>
          <w:highlight w:val="none"/>
        </w:rPr>
      </w:pPr>
      <w:r>
        <w:rPr>
          <w:rFonts w:hint="default" w:ascii="Times New Roman" w:hAnsi="Times New Roman" w:eastAsia="黑体" w:cs="Times New Roman"/>
          <w:b/>
          <w:color w:val="auto"/>
          <w:sz w:val="36"/>
          <w:szCs w:val="36"/>
          <w:highlight w:val="none"/>
        </w:rPr>
        <w:t>二、项目采购需求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为有效实施苏州市自然保护地动态监管，开展自然保护地遥感监测常态化工作，现将有关采购需求说明如下：</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 xml:space="preserve">监测内容：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利用遥感技术开展自然保护地资源（自然保护区、风景名胜区和地质公园）的动态监测，包括以下方面：</w:t>
      </w:r>
    </w:p>
    <w:p>
      <w:pPr>
        <w:keepNext w:val="0"/>
        <w:keepLines w:val="0"/>
        <w:pageBreakBefore w:val="0"/>
        <w:numPr>
          <w:ilvl w:val="0"/>
          <w:numId w:val="7"/>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针对苏州市自然保护地资源开展定期</w:t>
      </w:r>
      <w:r>
        <w:rPr>
          <w:rFonts w:hint="eastAsia" w:ascii="Times New Roman" w:hAnsi="Times New Roman" w:eastAsia="仿宋" w:cs="Times New Roman"/>
          <w:color w:val="auto"/>
          <w:sz w:val="32"/>
          <w:szCs w:val="32"/>
          <w:highlight w:val="none"/>
          <w:lang w:eastAsia="zh-CN"/>
        </w:rPr>
        <w:t>监测</w:t>
      </w:r>
      <w:r>
        <w:rPr>
          <w:rFonts w:hint="default" w:ascii="Times New Roman" w:hAnsi="Times New Roman" w:eastAsia="仿宋" w:cs="Times New Roman"/>
          <w:color w:val="auto"/>
          <w:sz w:val="32"/>
          <w:szCs w:val="32"/>
          <w:highlight w:val="none"/>
        </w:rPr>
        <w:t xml:space="preserve">工作，利用遥感技术识别、筛选疑似产生变化的自然保护地区域；                </w:t>
      </w:r>
    </w:p>
    <w:p>
      <w:pPr>
        <w:keepNext w:val="0"/>
        <w:keepLines w:val="0"/>
        <w:pageBreakBefore w:val="0"/>
        <w:numPr>
          <w:ilvl w:val="0"/>
          <w:numId w:val="7"/>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针对已产生变化的自然保护地区域，开展实地定位、踏勘、核查、拍照，持续跟踪变化区域动态。</w:t>
      </w:r>
    </w:p>
    <w:p>
      <w:pPr>
        <w:keepNext w:val="0"/>
        <w:keepLines w:val="0"/>
        <w:pageBreakBefore w:val="0"/>
        <w:numPr>
          <w:ilvl w:val="0"/>
          <w:numId w:val="7"/>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基于遥感</w:t>
      </w:r>
      <w:r>
        <w:rPr>
          <w:rFonts w:hint="default" w:ascii="Times New Roman" w:hAnsi="Times New Roman" w:eastAsia="仿宋" w:cs="Times New Roman"/>
          <w:color w:val="auto"/>
          <w:sz w:val="32"/>
          <w:szCs w:val="32"/>
          <w:highlight w:val="none"/>
          <w:lang w:val="en-US" w:eastAsia="zh-CN"/>
        </w:rPr>
        <w:t>监测</w:t>
      </w:r>
      <w:r>
        <w:rPr>
          <w:rFonts w:hint="default" w:ascii="Times New Roman" w:hAnsi="Times New Roman" w:eastAsia="仿宋" w:cs="Times New Roman"/>
          <w:color w:val="auto"/>
          <w:sz w:val="32"/>
          <w:szCs w:val="32"/>
          <w:highlight w:val="none"/>
        </w:rPr>
        <w:t>和现场核查情况，</w:t>
      </w:r>
      <w:r>
        <w:rPr>
          <w:rFonts w:hint="eastAsia" w:ascii="Times New Roman" w:hAnsi="Times New Roman" w:eastAsia="仿宋" w:cs="Times New Roman"/>
          <w:color w:val="auto"/>
          <w:sz w:val="32"/>
          <w:szCs w:val="32"/>
          <w:highlight w:val="none"/>
          <w:lang w:eastAsia="zh-CN"/>
        </w:rPr>
        <w:t>判断</w:t>
      </w:r>
      <w:r>
        <w:rPr>
          <w:rFonts w:hint="default" w:ascii="Times New Roman" w:hAnsi="Times New Roman" w:eastAsia="仿宋" w:cs="Times New Roman"/>
          <w:color w:val="auto"/>
          <w:sz w:val="32"/>
          <w:szCs w:val="32"/>
          <w:highlight w:val="none"/>
        </w:rPr>
        <w:t>变化图斑原因</w:t>
      </w:r>
      <w:r>
        <w:rPr>
          <w:rFonts w:hint="eastAsia" w:ascii="Times New Roman" w:hAnsi="Times New Roman" w:eastAsia="仿宋" w:cs="Times New Roman"/>
          <w:color w:val="auto"/>
          <w:sz w:val="32"/>
          <w:szCs w:val="32"/>
          <w:highlight w:val="none"/>
          <w:lang w:eastAsia="zh-CN"/>
        </w:rPr>
        <w:t>、类型，分析整体变化情况，并持续跟踪比对重点变化图斑，</w:t>
      </w:r>
      <w:r>
        <w:rPr>
          <w:rFonts w:hint="default" w:ascii="Times New Roman" w:hAnsi="Times New Roman" w:eastAsia="仿宋" w:cs="Times New Roman"/>
          <w:color w:val="auto"/>
          <w:sz w:val="32"/>
          <w:szCs w:val="32"/>
          <w:highlight w:val="none"/>
        </w:rPr>
        <w:t>建立苏州市自然保护地变化图斑台账，形成自然保护地遥感监测季度报告和年度总报告。</w:t>
      </w:r>
    </w:p>
    <w:p>
      <w:pPr>
        <w:keepNext w:val="0"/>
        <w:keepLines w:val="0"/>
        <w:pageBreakBefore w:val="0"/>
        <w:numPr>
          <w:ilvl w:val="0"/>
          <w:numId w:val="7"/>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针对上级部门下发的自然保护地图斑进行辅助核查及相关技术支持工作。</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监测对象：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苏州市自然保护地资源区域约615平方公里，包括自然保护区、风景名胜区和地质公园：</w:t>
      </w:r>
    </w:p>
    <w:p>
      <w:pPr>
        <w:keepNext w:val="0"/>
        <w:keepLines w:val="0"/>
        <w:pageBreakBefore w:val="0"/>
        <w:numPr>
          <w:ilvl w:val="0"/>
          <w:numId w:val="8"/>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自然保护区：光福省级自然保护区；</w:t>
      </w:r>
    </w:p>
    <w:p>
      <w:pPr>
        <w:keepNext w:val="0"/>
        <w:keepLines w:val="0"/>
        <w:pageBreakBefore w:val="0"/>
        <w:numPr>
          <w:ilvl w:val="0"/>
          <w:numId w:val="8"/>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风景名胜区：太湖国家级风景名胜区（西山景区、东山景区、光福景区、木渎景区、石湖景区、同里景区、甪直景区、虞山景区）；省级风景名胜区（虎丘山景区、枫桥景区）； </w:t>
      </w:r>
    </w:p>
    <w:p>
      <w:pPr>
        <w:keepNext w:val="0"/>
        <w:keepLines w:val="0"/>
        <w:pageBreakBefore w:val="0"/>
        <w:numPr>
          <w:ilvl w:val="0"/>
          <w:numId w:val="8"/>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地质公园：西山国家地质公园、虞山省级地质公园。</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监测技术要求：</w:t>
      </w:r>
    </w:p>
    <w:p>
      <w:pPr>
        <w:keepNext w:val="0"/>
        <w:keepLines w:val="0"/>
        <w:pageBreakBefore w:val="0"/>
        <w:numPr>
          <w:ilvl w:val="0"/>
          <w:numId w:val="9"/>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数据源：监测采用影像要求完全覆盖监测区域，空间分辨率不低于2米；</w:t>
      </w:r>
    </w:p>
    <w:p>
      <w:pPr>
        <w:keepNext w:val="0"/>
        <w:keepLines w:val="0"/>
        <w:pageBreakBefore w:val="0"/>
        <w:numPr>
          <w:ilvl w:val="0"/>
          <w:numId w:val="9"/>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监测时间：202</w:t>
      </w: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年共进行四次监测，以季度末为时间节点开展监测工作，所用影像时相与监测时间节点前后差距应不超过</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天；</w:t>
      </w:r>
    </w:p>
    <w:p>
      <w:pPr>
        <w:keepNext w:val="0"/>
        <w:keepLines w:val="0"/>
        <w:pageBreakBefore w:val="0"/>
        <w:numPr>
          <w:ilvl w:val="0"/>
          <w:numId w:val="9"/>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监测发现的疑似变化图斑，需通过现场核查的方式确定变化后的土地性质现状</w:t>
      </w:r>
      <w:r>
        <w:rPr>
          <w:rFonts w:hint="eastAsia" w:ascii="Times New Roman" w:hAnsi="Times New Roman" w:eastAsia="仿宋" w:cs="Times New Roman"/>
          <w:color w:val="auto"/>
          <w:sz w:val="32"/>
          <w:szCs w:val="32"/>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left="425" w:leftChars="0" w:hanging="425" w:firstLineChars="0"/>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监测成果要求：</w:t>
      </w:r>
    </w:p>
    <w:p>
      <w:pPr>
        <w:keepNext w:val="0"/>
        <w:keepLines w:val="0"/>
        <w:pageBreakBefore w:val="0"/>
        <w:numPr>
          <w:ilvl w:val="0"/>
          <w:numId w:val="10"/>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提交成果：自然保护地资源疑似变化图斑的矢量数据；自然保护地资源遥感监测季度报告；自然保护地资源遥感年度报告和台账；</w:t>
      </w:r>
    </w:p>
    <w:p>
      <w:pPr>
        <w:keepNext w:val="0"/>
        <w:keepLines w:val="0"/>
        <w:pageBreakBefore w:val="0"/>
        <w:numPr>
          <w:ilvl w:val="0"/>
          <w:numId w:val="10"/>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矢量数据要求：采用2000国家坐标系</w:t>
      </w:r>
      <w:r>
        <w:rPr>
          <w:rFonts w:hint="default" w:ascii="Times New Roman" w:hAnsi="Times New Roman" w:eastAsia="仿宋" w:cs="Times New Roman"/>
          <w:color w:val="auto"/>
          <w:sz w:val="32"/>
          <w:szCs w:val="32"/>
          <w:highlight w:val="none"/>
          <w:lang w:val="en-US" w:eastAsia="zh-CN"/>
        </w:rPr>
        <w:t>的闭合面要素</w:t>
      </w:r>
      <w:r>
        <w:rPr>
          <w:rFonts w:hint="default" w:ascii="Times New Roman" w:hAnsi="Times New Roman" w:eastAsia="仿宋" w:cs="Times New Roman"/>
          <w:color w:val="auto"/>
          <w:sz w:val="32"/>
          <w:szCs w:val="32"/>
          <w:highlight w:val="none"/>
        </w:rPr>
        <w:t>，属性字段包含图斑编号、地理坐标、位置、所属资源类型</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变化面积、变化类型等；</w:t>
      </w:r>
    </w:p>
    <w:p>
      <w:pPr>
        <w:keepNext w:val="0"/>
        <w:keepLines w:val="0"/>
        <w:pageBreakBefore w:val="0"/>
        <w:numPr>
          <w:ilvl w:val="0"/>
          <w:numId w:val="10"/>
        </w:numPr>
        <w:kinsoku/>
        <w:wordWrap/>
        <w:overflowPunct/>
        <w:topLinePunct w:val="0"/>
        <w:autoSpaceDE/>
        <w:autoSpaceDN/>
        <w:bidi w:val="0"/>
        <w:adjustRightInd/>
        <w:snapToGrid/>
        <w:spacing w:line="500" w:lineRule="exact"/>
        <w:ind w:left="425" w:leftChars="0" w:hanging="425" w:firstLineChars="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提交时间要求</w:t>
      </w:r>
      <w:r>
        <w:rPr>
          <w:rFonts w:hint="default" w:ascii="Times New Roman" w:hAnsi="Times New Roman" w:eastAsia="仿宋" w:cs="Times New Roman"/>
          <w:color w:val="auto"/>
          <w:sz w:val="32"/>
          <w:szCs w:val="32"/>
          <w:highlight w:val="none"/>
          <w:lang w:eastAsia="zh-CN"/>
        </w:rPr>
        <w:t>：在</w:t>
      </w:r>
      <w:r>
        <w:rPr>
          <w:rFonts w:hint="eastAsia" w:ascii="Times New Roman" w:hAnsi="Times New Roman" w:eastAsia="仿宋" w:cs="Times New Roman"/>
          <w:color w:val="auto"/>
          <w:sz w:val="32"/>
          <w:szCs w:val="32"/>
          <w:highlight w:val="none"/>
          <w:lang w:eastAsia="zh-CN"/>
        </w:rPr>
        <w:t>每季度后</w:t>
      </w:r>
      <w:r>
        <w:rPr>
          <w:rFonts w:hint="default" w:ascii="Times New Roman" w:hAnsi="Times New Roman" w:eastAsia="仿宋" w:cs="Times New Roman"/>
          <w:color w:val="auto"/>
          <w:sz w:val="32"/>
          <w:szCs w:val="32"/>
          <w:highlight w:val="none"/>
          <w:lang w:eastAsia="zh-CN"/>
        </w:rPr>
        <w:t>15个工作日内提供季度监测成果报告</w:t>
      </w:r>
      <w:r>
        <w:rPr>
          <w:rFonts w:hint="eastAsia"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eastAsia="zh-CN"/>
        </w:rPr>
        <w:t>年度汇总报告在全年度监测工作完成后7个工作日内提交。</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color w:val="auto"/>
          <w:sz w:val="32"/>
          <w:szCs w:val="32"/>
          <w:highlight w:val="none"/>
          <w:lang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color w:val="auto"/>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4480" w:firstLineChars="14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苏州市园林和绿化管理局</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                       </w:t>
      </w:r>
      <w:r>
        <w:rPr>
          <w:rFonts w:hint="eastAsia"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rPr>
        <w:t>202</w:t>
      </w: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年1月</w:t>
      </w:r>
      <w:r>
        <w:rPr>
          <w:rFonts w:hint="eastAsia"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日</w:t>
      </w:r>
    </w:p>
    <w:p>
      <w:pPr>
        <w:rPr>
          <w:rFonts w:hint="default" w:ascii="Times New Roman" w:hAnsi="Times New Roman" w:eastAsia="黑体" w:cs="Times New Roman"/>
          <w:b/>
          <w:color w:val="auto"/>
          <w:sz w:val="44"/>
          <w:szCs w:val="44"/>
          <w:highlight w:val="none"/>
        </w:rPr>
      </w:pPr>
      <w:r>
        <w:rPr>
          <w:rFonts w:hint="default" w:ascii="Times New Roman" w:hAnsi="Times New Roman" w:eastAsia="黑体" w:cs="Times New Roman"/>
          <w:b/>
          <w:color w:val="auto"/>
          <w:sz w:val="44"/>
          <w:szCs w:val="44"/>
          <w:highlight w:val="none"/>
        </w:rPr>
        <w:br w:type="page"/>
      </w:r>
    </w:p>
    <w:p>
      <w:pPr>
        <w:spacing w:before="156" w:beforeLines="50" w:after="312" w:afterLines="100" w:line="600" w:lineRule="exact"/>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报价函</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苏州市园林和绿化管理局：</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关于苏州市202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年自然保护地资源遥感监测项目，我单位在仔细研读招标文件材料后，给出报价具体如下：</w:t>
      </w:r>
    </w:p>
    <w:p>
      <w:pPr>
        <w:spacing w:before="156" w:beforeLines="50" w:line="360" w:lineRule="auto"/>
        <w:jc w:val="center"/>
        <w:rPr>
          <w:rFonts w:hint="default" w:ascii="Times New Roman" w:hAnsi="Times New Roman" w:eastAsia="黑体" w:cs="Times New Roman"/>
          <w:b/>
          <w:sz w:val="32"/>
          <w:szCs w:val="32"/>
        </w:rPr>
      </w:pPr>
      <w:r>
        <w:rPr>
          <w:rFonts w:hint="default" w:ascii="Times New Roman" w:hAnsi="Times New Roman" w:eastAsia="黑体" w:cs="Times New Roman"/>
          <w:bCs/>
          <w:sz w:val="28"/>
          <w:szCs w:val="28"/>
        </w:rPr>
        <w:t>苏州市自然保护地资源遥感监测项目报价表</w:t>
      </w:r>
    </w:p>
    <w:tbl>
      <w:tblPr>
        <w:tblStyle w:val="6"/>
        <w:tblW w:w="8512" w:type="dxa"/>
        <w:jc w:val="center"/>
        <w:tblInd w:w="0" w:type="dxa"/>
        <w:tblLayout w:type="fixed"/>
        <w:tblCellMar>
          <w:top w:w="0" w:type="dxa"/>
          <w:left w:w="108" w:type="dxa"/>
          <w:bottom w:w="0" w:type="dxa"/>
          <w:right w:w="108" w:type="dxa"/>
        </w:tblCellMar>
      </w:tblPr>
      <w:tblGrid>
        <w:gridCol w:w="954"/>
        <w:gridCol w:w="1559"/>
        <w:gridCol w:w="1477"/>
        <w:gridCol w:w="4522"/>
      </w:tblGrid>
      <w:tr>
        <w:tblPrEx>
          <w:tblLayout w:type="fixed"/>
          <w:tblCellMar>
            <w:top w:w="0" w:type="dxa"/>
            <w:left w:w="108" w:type="dxa"/>
            <w:bottom w:w="0" w:type="dxa"/>
            <w:right w:w="108" w:type="dxa"/>
          </w:tblCellMar>
        </w:tblPrEx>
        <w:trPr>
          <w:cantSplit/>
          <w:trHeight w:val="512" w:hRule="atLeast"/>
          <w:jc w:val="center"/>
        </w:trPr>
        <w:tc>
          <w:tcPr>
            <w:tcW w:w="9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1559"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服务内容</w:t>
            </w:r>
          </w:p>
        </w:tc>
        <w:tc>
          <w:tcPr>
            <w:tcW w:w="1477" w:type="dxa"/>
            <w:tcBorders>
              <w:top w:val="single" w:color="auto" w:sz="6" w:space="0"/>
              <w:left w:val="nil"/>
              <w:bottom w:val="single" w:color="auto" w:sz="4"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价格/万元</w:t>
            </w:r>
          </w:p>
        </w:tc>
        <w:tc>
          <w:tcPr>
            <w:tcW w:w="4522" w:type="dxa"/>
            <w:tcBorders>
              <w:top w:val="single" w:color="auto" w:sz="6" w:space="0"/>
              <w:left w:val="nil"/>
              <w:bottom w:val="single" w:color="auto" w:sz="6"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r>
      <w:tr>
        <w:tblPrEx>
          <w:tblLayout w:type="fixed"/>
          <w:tblCellMar>
            <w:top w:w="0" w:type="dxa"/>
            <w:left w:w="108" w:type="dxa"/>
            <w:bottom w:w="0" w:type="dxa"/>
            <w:right w:w="108" w:type="dxa"/>
          </w:tblCellMar>
        </w:tblPrEx>
        <w:trPr>
          <w:cantSplit/>
          <w:trHeight w:val="512" w:hRule="atLeast"/>
          <w:jc w:val="center"/>
        </w:trPr>
        <w:tc>
          <w:tcPr>
            <w:tcW w:w="9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w:t>
            </w:r>
          </w:p>
        </w:tc>
        <w:tc>
          <w:tcPr>
            <w:tcW w:w="1559"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p>
            <w:pPr>
              <w:spacing w:line="360" w:lineRule="auto"/>
              <w:jc w:val="center"/>
              <w:rPr>
                <w:rFonts w:hint="default" w:ascii="Times New Roman" w:hAnsi="Times New Roman" w:eastAsia="仿宋_GB2312" w:cs="Times New Roman"/>
                <w:sz w:val="28"/>
                <w:szCs w:val="28"/>
              </w:rPr>
            </w:pPr>
          </w:p>
        </w:tc>
        <w:tc>
          <w:tcPr>
            <w:tcW w:w="1477" w:type="dxa"/>
            <w:tcBorders>
              <w:top w:val="single" w:color="auto" w:sz="4"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tc>
        <w:tc>
          <w:tcPr>
            <w:tcW w:w="4522" w:type="dxa"/>
            <w:tcBorders>
              <w:top w:val="single" w:color="auto" w:sz="6" w:space="0"/>
              <w:left w:val="nil"/>
              <w:bottom w:val="single" w:color="auto" w:sz="6" w:space="0"/>
              <w:right w:val="single" w:color="auto" w:sz="4" w:space="0"/>
            </w:tcBorders>
            <w:vAlign w:val="center"/>
          </w:tcPr>
          <w:p>
            <w:pPr>
              <w:spacing w:line="360" w:lineRule="auto"/>
              <w:rPr>
                <w:rFonts w:hint="default"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cantSplit/>
          <w:trHeight w:val="512" w:hRule="atLeast"/>
          <w:jc w:val="center"/>
        </w:trPr>
        <w:tc>
          <w:tcPr>
            <w:tcW w:w="9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w:t>
            </w:r>
          </w:p>
        </w:tc>
        <w:tc>
          <w:tcPr>
            <w:tcW w:w="1559"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p>
            <w:pPr>
              <w:spacing w:line="360" w:lineRule="auto"/>
              <w:jc w:val="center"/>
              <w:rPr>
                <w:rFonts w:hint="default" w:ascii="Times New Roman" w:hAnsi="Times New Roman" w:eastAsia="仿宋_GB2312" w:cs="Times New Roman"/>
                <w:sz w:val="28"/>
                <w:szCs w:val="28"/>
              </w:rPr>
            </w:pPr>
          </w:p>
        </w:tc>
        <w:tc>
          <w:tcPr>
            <w:tcW w:w="1477"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tc>
        <w:tc>
          <w:tcPr>
            <w:tcW w:w="4522" w:type="dxa"/>
            <w:tcBorders>
              <w:top w:val="single" w:color="auto" w:sz="6" w:space="0"/>
              <w:left w:val="nil"/>
              <w:bottom w:val="single" w:color="auto" w:sz="6" w:space="0"/>
              <w:right w:val="single" w:color="auto" w:sz="4" w:space="0"/>
            </w:tcBorders>
            <w:vAlign w:val="center"/>
          </w:tcPr>
          <w:p>
            <w:pPr>
              <w:spacing w:line="360" w:lineRule="auto"/>
              <w:rPr>
                <w:rFonts w:hint="default"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cantSplit/>
          <w:trHeight w:val="512" w:hRule="atLeast"/>
          <w:jc w:val="center"/>
        </w:trPr>
        <w:tc>
          <w:tcPr>
            <w:tcW w:w="9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w:t>
            </w:r>
          </w:p>
        </w:tc>
        <w:tc>
          <w:tcPr>
            <w:tcW w:w="1559"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p>
            <w:pPr>
              <w:spacing w:line="360" w:lineRule="auto"/>
              <w:jc w:val="center"/>
              <w:rPr>
                <w:rFonts w:hint="default" w:ascii="Times New Roman" w:hAnsi="Times New Roman" w:eastAsia="仿宋_GB2312" w:cs="Times New Roman"/>
                <w:sz w:val="28"/>
                <w:szCs w:val="28"/>
              </w:rPr>
            </w:pPr>
          </w:p>
        </w:tc>
        <w:tc>
          <w:tcPr>
            <w:tcW w:w="1477"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tc>
        <w:tc>
          <w:tcPr>
            <w:tcW w:w="4522" w:type="dxa"/>
            <w:tcBorders>
              <w:top w:val="single" w:color="auto" w:sz="6" w:space="0"/>
              <w:left w:val="nil"/>
              <w:bottom w:val="single" w:color="auto" w:sz="6" w:space="0"/>
              <w:right w:val="single" w:color="auto" w:sz="4" w:space="0"/>
            </w:tcBorders>
            <w:vAlign w:val="center"/>
          </w:tcPr>
          <w:p>
            <w:pPr>
              <w:spacing w:line="360" w:lineRule="auto"/>
              <w:rPr>
                <w:rFonts w:hint="default"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cantSplit/>
          <w:trHeight w:val="512" w:hRule="atLeast"/>
          <w:jc w:val="center"/>
        </w:trPr>
        <w:tc>
          <w:tcPr>
            <w:tcW w:w="95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w:t>
            </w:r>
          </w:p>
        </w:tc>
        <w:tc>
          <w:tcPr>
            <w:tcW w:w="1559"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p>
            <w:pPr>
              <w:spacing w:line="360" w:lineRule="auto"/>
              <w:jc w:val="center"/>
              <w:rPr>
                <w:rFonts w:hint="default" w:ascii="Times New Roman" w:hAnsi="Times New Roman" w:eastAsia="仿宋_GB2312" w:cs="Times New Roman"/>
                <w:sz w:val="28"/>
                <w:szCs w:val="28"/>
              </w:rPr>
            </w:pPr>
          </w:p>
        </w:tc>
        <w:tc>
          <w:tcPr>
            <w:tcW w:w="1477" w:type="dxa"/>
            <w:tcBorders>
              <w:top w:val="single" w:color="auto" w:sz="6" w:space="0"/>
              <w:left w:val="nil"/>
              <w:bottom w:val="single" w:color="auto" w:sz="6"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tc>
        <w:tc>
          <w:tcPr>
            <w:tcW w:w="4522" w:type="dxa"/>
            <w:tcBorders>
              <w:top w:val="single" w:color="auto" w:sz="6" w:space="0"/>
              <w:left w:val="nil"/>
              <w:bottom w:val="single" w:color="auto" w:sz="6" w:space="0"/>
              <w:right w:val="single" w:color="auto" w:sz="4" w:space="0"/>
            </w:tcBorders>
            <w:vAlign w:val="center"/>
          </w:tcPr>
          <w:p>
            <w:pPr>
              <w:spacing w:line="360" w:lineRule="auto"/>
              <w:rPr>
                <w:rFonts w:hint="default" w:ascii="Times New Roman" w:hAnsi="Times New Roman" w:eastAsia="仿宋_GB2312" w:cs="Times New Roman"/>
                <w:sz w:val="28"/>
                <w:szCs w:val="28"/>
              </w:rPr>
            </w:pPr>
          </w:p>
        </w:tc>
      </w:tr>
      <w:tr>
        <w:tblPrEx>
          <w:tblLayout w:type="fixed"/>
          <w:tblCellMar>
            <w:top w:w="0" w:type="dxa"/>
            <w:left w:w="108" w:type="dxa"/>
            <w:bottom w:w="0" w:type="dxa"/>
            <w:right w:w="108" w:type="dxa"/>
          </w:tblCellMar>
        </w:tblPrEx>
        <w:trPr>
          <w:cantSplit/>
          <w:trHeight w:val="803" w:hRule="atLeast"/>
          <w:jc w:val="center"/>
        </w:trPr>
        <w:tc>
          <w:tcPr>
            <w:tcW w:w="2513" w:type="dxa"/>
            <w:gridSpan w:val="2"/>
            <w:tcBorders>
              <w:top w:val="single" w:color="auto" w:sz="6" w:space="0"/>
              <w:left w:val="single" w:color="auto" w:sz="6" w:space="0"/>
              <w:bottom w:val="single" w:color="auto" w:sz="8"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总价/万元</w:t>
            </w:r>
          </w:p>
        </w:tc>
        <w:tc>
          <w:tcPr>
            <w:tcW w:w="1477" w:type="dxa"/>
            <w:tcBorders>
              <w:top w:val="single" w:color="auto" w:sz="6" w:space="0"/>
              <w:left w:val="nil"/>
              <w:bottom w:val="single" w:color="auto" w:sz="8" w:space="0"/>
              <w:right w:val="single" w:color="auto" w:sz="6" w:space="0"/>
            </w:tcBorders>
            <w:vAlign w:val="center"/>
          </w:tcPr>
          <w:p>
            <w:pPr>
              <w:spacing w:line="360" w:lineRule="auto"/>
              <w:jc w:val="center"/>
              <w:rPr>
                <w:rFonts w:hint="default" w:ascii="Times New Roman" w:hAnsi="Times New Roman" w:eastAsia="仿宋_GB2312" w:cs="Times New Roman"/>
                <w:sz w:val="28"/>
                <w:szCs w:val="28"/>
              </w:rPr>
            </w:pPr>
          </w:p>
        </w:tc>
        <w:tc>
          <w:tcPr>
            <w:tcW w:w="4522" w:type="dxa"/>
            <w:tcBorders>
              <w:top w:val="single" w:color="auto" w:sz="6" w:space="0"/>
              <w:left w:val="nil"/>
              <w:bottom w:val="single" w:color="auto" w:sz="8" w:space="0"/>
              <w:right w:val="single" w:color="auto" w:sz="4" w:space="0"/>
            </w:tcBorders>
            <w:vAlign w:val="center"/>
          </w:tcPr>
          <w:p>
            <w:pPr>
              <w:spacing w:line="360" w:lineRule="auto"/>
              <w:rPr>
                <w:rFonts w:hint="default" w:ascii="Times New Roman" w:hAnsi="Times New Roman" w:eastAsia="仿宋_GB2312" w:cs="Times New Roman"/>
                <w:sz w:val="28"/>
                <w:szCs w:val="28"/>
              </w:rPr>
            </w:pPr>
          </w:p>
        </w:tc>
      </w:tr>
    </w:tbl>
    <w:p>
      <w:pPr>
        <w:rPr>
          <w:rFonts w:hint="default" w:ascii="Times New Roman" w:hAnsi="Times New Roman" w:cs="Times New Roman"/>
        </w:rPr>
      </w:pPr>
    </w:p>
    <w:p>
      <w:pPr>
        <w:spacing w:line="360" w:lineRule="auto"/>
        <w:jc w:val="left"/>
        <w:rPr>
          <w:rFonts w:hint="default" w:ascii="Times New Roman" w:hAnsi="Times New Roman" w:eastAsia="仿宋_GB2312" w:cs="Times New Roman"/>
          <w:sz w:val="32"/>
          <w:szCs w:val="32"/>
        </w:rPr>
      </w:pP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报价单位（加盖公章）：</w:t>
      </w:r>
    </w:p>
    <w:p>
      <w:pPr>
        <w:spacing w:line="360" w:lineRule="auto"/>
        <w:jc w:val="left"/>
        <w:rPr>
          <w:rFonts w:hint="default" w:ascii="Times New Roman" w:hAnsi="Times New Roman" w:eastAsia="仿宋_GB2312" w:cs="Times New Roman"/>
          <w:sz w:val="32"/>
          <w:szCs w:val="32"/>
        </w:rPr>
      </w:pPr>
    </w:p>
    <w:p>
      <w:pPr>
        <w:spacing w:line="360" w:lineRule="auto"/>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34999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7A4D5"/>
    <w:multiLevelType w:val="singleLevel"/>
    <w:tmpl w:val="8DF7A4D5"/>
    <w:lvl w:ilvl="0" w:tentative="0">
      <w:start w:val="1"/>
      <w:numFmt w:val="decimal"/>
      <w:lvlText w:val="(%1)"/>
      <w:lvlJc w:val="left"/>
      <w:pPr>
        <w:ind w:left="425" w:hanging="425"/>
      </w:pPr>
      <w:rPr>
        <w:rFonts w:hint="default"/>
      </w:rPr>
    </w:lvl>
  </w:abstractNum>
  <w:abstractNum w:abstractNumId="1">
    <w:nsid w:val="B64234E3"/>
    <w:multiLevelType w:val="singleLevel"/>
    <w:tmpl w:val="B64234E3"/>
    <w:lvl w:ilvl="0" w:tentative="0">
      <w:start w:val="1"/>
      <w:numFmt w:val="decimal"/>
      <w:lvlText w:val="%1."/>
      <w:lvlJc w:val="left"/>
      <w:pPr>
        <w:tabs>
          <w:tab w:val="left" w:pos="420"/>
        </w:tabs>
        <w:ind w:left="425" w:leftChars="0" w:hanging="425" w:firstLineChars="0"/>
      </w:pPr>
      <w:rPr>
        <w:rFonts w:hint="default"/>
      </w:rPr>
    </w:lvl>
  </w:abstractNum>
  <w:abstractNum w:abstractNumId="2">
    <w:nsid w:val="C21CC52A"/>
    <w:multiLevelType w:val="singleLevel"/>
    <w:tmpl w:val="C21CC52A"/>
    <w:lvl w:ilvl="0" w:tentative="0">
      <w:start w:val="1"/>
      <w:numFmt w:val="decimal"/>
      <w:lvlText w:val="(%1)"/>
      <w:lvlJc w:val="left"/>
      <w:pPr>
        <w:ind w:left="425" w:hanging="425"/>
      </w:pPr>
      <w:rPr>
        <w:rFonts w:hint="default"/>
      </w:rPr>
    </w:lvl>
  </w:abstractNum>
  <w:abstractNum w:abstractNumId="3">
    <w:nsid w:val="DAC7F660"/>
    <w:multiLevelType w:val="singleLevel"/>
    <w:tmpl w:val="DAC7F660"/>
    <w:lvl w:ilvl="0" w:tentative="0">
      <w:start w:val="1"/>
      <w:numFmt w:val="decimal"/>
      <w:lvlText w:val="(%1)"/>
      <w:lvlJc w:val="left"/>
      <w:pPr>
        <w:ind w:left="425" w:hanging="425"/>
      </w:pPr>
      <w:rPr>
        <w:rFonts w:hint="default"/>
      </w:rPr>
    </w:lvl>
  </w:abstractNum>
  <w:abstractNum w:abstractNumId="4">
    <w:nsid w:val="E547055E"/>
    <w:multiLevelType w:val="singleLevel"/>
    <w:tmpl w:val="E547055E"/>
    <w:lvl w:ilvl="0" w:tentative="0">
      <w:start w:val="1"/>
      <w:numFmt w:val="decimal"/>
      <w:lvlText w:val="(%1)"/>
      <w:lvlJc w:val="left"/>
      <w:pPr>
        <w:ind w:left="425" w:hanging="425"/>
      </w:pPr>
      <w:rPr>
        <w:rFonts w:hint="default"/>
      </w:rPr>
    </w:lvl>
  </w:abstractNum>
  <w:abstractNum w:abstractNumId="5">
    <w:nsid w:val="FB49FB4D"/>
    <w:multiLevelType w:val="singleLevel"/>
    <w:tmpl w:val="FB49FB4D"/>
    <w:lvl w:ilvl="0" w:tentative="0">
      <w:start w:val="1"/>
      <w:numFmt w:val="decimal"/>
      <w:lvlText w:val="(%1)"/>
      <w:lvlJc w:val="left"/>
      <w:pPr>
        <w:tabs>
          <w:tab w:val="left" w:pos="420"/>
        </w:tabs>
        <w:ind w:left="425" w:leftChars="0" w:hanging="425" w:firstLineChars="0"/>
      </w:pPr>
      <w:rPr>
        <w:rFonts w:hint="default"/>
      </w:rPr>
    </w:lvl>
  </w:abstractNum>
  <w:abstractNum w:abstractNumId="6">
    <w:nsid w:val="02507BEC"/>
    <w:multiLevelType w:val="singleLevel"/>
    <w:tmpl w:val="02507BEC"/>
    <w:lvl w:ilvl="0" w:tentative="0">
      <w:start w:val="1"/>
      <w:numFmt w:val="decimal"/>
      <w:lvlText w:val="(%1)"/>
      <w:lvlJc w:val="left"/>
      <w:pPr>
        <w:ind w:left="425" w:hanging="425"/>
      </w:pPr>
      <w:rPr>
        <w:rFonts w:hint="default"/>
      </w:rPr>
    </w:lvl>
  </w:abstractNum>
  <w:abstractNum w:abstractNumId="7">
    <w:nsid w:val="235964E8"/>
    <w:multiLevelType w:val="singleLevel"/>
    <w:tmpl w:val="235964E8"/>
    <w:lvl w:ilvl="0" w:tentative="0">
      <w:start w:val="1"/>
      <w:numFmt w:val="decimal"/>
      <w:lvlText w:val="(%1)"/>
      <w:lvlJc w:val="left"/>
      <w:pPr>
        <w:ind w:left="425" w:hanging="425"/>
      </w:pPr>
      <w:rPr>
        <w:rFonts w:hint="default"/>
      </w:rPr>
    </w:lvl>
  </w:abstractNum>
  <w:abstractNum w:abstractNumId="8">
    <w:nsid w:val="6254FDF7"/>
    <w:multiLevelType w:val="singleLevel"/>
    <w:tmpl w:val="6254FDF7"/>
    <w:lvl w:ilvl="0" w:tentative="0">
      <w:start w:val="1"/>
      <w:numFmt w:val="decimal"/>
      <w:lvlText w:val="(%1)"/>
      <w:lvlJc w:val="left"/>
      <w:pPr>
        <w:ind w:left="425" w:hanging="425"/>
      </w:pPr>
      <w:rPr>
        <w:rFonts w:hint="default"/>
      </w:rPr>
    </w:lvl>
  </w:abstractNum>
  <w:abstractNum w:abstractNumId="9">
    <w:nsid w:val="7E238F5A"/>
    <w:multiLevelType w:val="singleLevel"/>
    <w:tmpl w:val="7E238F5A"/>
    <w:lvl w:ilvl="0" w:tentative="0">
      <w:start w:val="1"/>
      <w:numFmt w:val="decimal"/>
      <w:lvlText w:val="%1."/>
      <w:lvlJc w:val="left"/>
      <w:pPr>
        <w:ind w:left="425" w:hanging="425"/>
      </w:pPr>
      <w:rPr>
        <w:rFont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NmJlYWE3ZmYwOTdjZTQzMjcwYzI3NjNkZDViMWYifQ=="/>
  </w:docVars>
  <w:rsids>
    <w:rsidRoot w:val="00793397"/>
    <w:rsid w:val="00171829"/>
    <w:rsid w:val="00313CBA"/>
    <w:rsid w:val="004948CD"/>
    <w:rsid w:val="005134BF"/>
    <w:rsid w:val="005462F0"/>
    <w:rsid w:val="006F0C56"/>
    <w:rsid w:val="006F76D6"/>
    <w:rsid w:val="007227DA"/>
    <w:rsid w:val="007572BE"/>
    <w:rsid w:val="00776D6F"/>
    <w:rsid w:val="00793397"/>
    <w:rsid w:val="00860558"/>
    <w:rsid w:val="008B050A"/>
    <w:rsid w:val="008C1B51"/>
    <w:rsid w:val="009A39FA"/>
    <w:rsid w:val="009E0942"/>
    <w:rsid w:val="00AD663F"/>
    <w:rsid w:val="00AF3331"/>
    <w:rsid w:val="00BA12B3"/>
    <w:rsid w:val="00BC2D53"/>
    <w:rsid w:val="00BF7A3F"/>
    <w:rsid w:val="00C84F2C"/>
    <w:rsid w:val="00DD0503"/>
    <w:rsid w:val="00DD1EFF"/>
    <w:rsid w:val="00E22C18"/>
    <w:rsid w:val="00EA1538"/>
    <w:rsid w:val="04940D84"/>
    <w:rsid w:val="08575275"/>
    <w:rsid w:val="0AEA2F37"/>
    <w:rsid w:val="0D292356"/>
    <w:rsid w:val="0E43162F"/>
    <w:rsid w:val="13C83C09"/>
    <w:rsid w:val="15AC5869"/>
    <w:rsid w:val="192933E4"/>
    <w:rsid w:val="1BE0016A"/>
    <w:rsid w:val="1C7A05BE"/>
    <w:rsid w:val="1C8A577A"/>
    <w:rsid w:val="1DDA0C9B"/>
    <w:rsid w:val="1F623B51"/>
    <w:rsid w:val="214C3ECF"/>
    <w:rsid w:val="21C86719"/>
    <w:rsid w:val="224E63F5"/>
    <w:rsid w:val="2B9303CF"/>
    <w:rsid w:val="2F2820FC"/>
    <w:rsid w:val="33255612"/>
    <w:rsid w:val="342C21D6"/>
    <w:rsid w:val="34515E68"/>
    <w:rsid w:val="357C196F"/>
    <w:rsid w:val="36201D7F"/>
    <w:rsid w:val="368D123B"/>
    <w:rsid w:val="379A790F"/>
    <w:rsid w:val="393B1918"/>
    <w:rsid w:val="3A436FBA"/>
    <w:rsid w:val="431D17E0"/>
    <w:rsid w:val="450B3BFA"/>
    <w:rsid w:val="507E268D"/>
    <w:rsid w:val="53083527"/>
    <w:rsid w:val="5A871B1D"/>
    <w:rsid w:val="61D94A0C"/>
    <w:rsid w:val="66155488"/>
    <w:rsid w:val="69EB6031"/>
    <w:rsid w:val="6A6C3C46"/>
    <w:rsid w:val="6A7259FE"/>
    <w:rsid w:val="778E48FA"/>
    <w:rsid w:val="7AE30252"/>
    <w:rsid w:val="7C813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1640</Words>
  <Characters>1703</Characters>
  <Lines>15</Lines>
  <Paragraphs>4</Paragraphs>
  <TotalTime>0</TotalTime>
  <ScaleCrop>false</ScaleCrop>
  <LinksUpToDate>false</LinksUpToDate>
  <CharactersWithSpaces>1781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2021-01-28T06:33:00Z</dcterms:created>
  <dc:creator>PC</dc:creator>
  <cp:lastModifiedBy>王丽君</cp:lastModifiedBy>
  <cp:lastPrinted>2023-01-05T03:09:03Z</cp:lastPrinted>
  <dcterms:modified xsi:type="dcterms:W3CDTF">2023-01-05T07:28:21Z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2F2C9EA841434BE19717046D74585F55</vt:lpwstr>
  </property>
</Properties>
</file>