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83688">
      <w:pPr>
        <w:keepNext w:val="0"/>
        <w:keepLines w:val="0"/>
        <w:pageBreakBefore w:val="0"/>
        <w:widowControl w:val="0"/>
        <w:kinsoku/>
        <w:wordWrap/>
        <w:overflowPunct/>
        <w:topLinePunct w:val="0"/>
        <w:autoSpaceDE w:val="0"/>
        <w:autoSpaceDN w:val="0"/>
        <w:bidi w:val="0"/>
        <w:adjustRightInd w:val="0"/>
        <w:snapToGrid/>
        <w:spacing w:line="600" w:lineRule="exact"/>
        <w:jc w:val="center"/>
        <w:textAlignment w:val="auto"/>
        <w:rPr>
          <w:rFonts w:hint="default" w:ascii="方正小标宋简体" w:hAnsi="方正小标宋简体" w:eastAsia="方正小标宋简体" w:cs="方正小标宋简体"/>
          <w:color w:val="000000"/>
          <w:spacing w:val="-17"/>
          <w:sz w:val="36"/>
          <w:szCs w:val="36"/>
          <w:highlight w:val="none"/>
          <w:lang w:val="en-US"/>
        </w:rPr>
      </w:pPr>
      <w:r>
        <w:rPr>
          <w:rFonts w:hint="eastAsia" w:ascii="方正小标宋简体" w:hAnsi="方正小标宋简体" w:eastAsia="方正小标宋简体" w:cs="方正小标宋简体"/>
          <w:spacing w:val="0"/>
          <w:kern w:val="0"/>
          <w:sz w:val="44"/>
          <w:szCs w:val="44"/>
          <w:lang w:val="en-US" w:eastAsia="zh-CN"/>
        </w:rPr>
        <w:t>苏州市林</w:t>
      </w:r>
      <w:r>
        <w:rPr>
          <w:rFonts w:hint="default" w:ascii="Times New Roman" w:hAnsi="Times New Roman" w:eastAsia="方正小标宋简体" w:cs="Times New Roman"/>
          <w:spacing w:val="0"/>
          <w:kern w:val="0"/>
          <w:sz w:val="44"/>
          <w:szCs w:val="44"/>
          <w:lang w:val="en-US" w:eastAsia="zh-CN"/>
        </w:rPr>
        <w:t>业站2025年林调</w:t>
      </w:r>
      <w:r>
        <w:rPr>
          <w:rFonts w:hint="eastAsia" w:ascii="方正小标宋简体" w:hAnsi="方正小标宋简体" w:eastAsia="方正小标宋简体" w:cs="方正小标宋简体"/>
          <w:spacing w:val="0"/>
          <w:kern w:val="0"/>
          <w:sz w:val="44"/>
          <w:szCs w:val="44"/>
          <w:lang w:val="en-US" w:eastAsia="zh-CN"/>
        </w:rPr>
        <w:t>通采购项目</w:t>
      </w:r>
      <w:r>
        <w:rPr>
          <w:rFonts w:hint="eastAsia" w:ascii="方正小标宋简体" w:hAnsi="方正小标宋简体" w:eastAsia="方正小标宋简体" w:cs="方正小标宋简体"/>
          <w:spacing w:val="0"/>
          <w:kern w:val="0"/>
          <w:sz w:val="44"/>
          <w:szCs w:val="44"/>
          <w:highlight w:val="none"/>
          <w:lang w:val="en-US" w:eastAsia="zh-CN"/>
        </w:rPr>
        <w:t>竞争性磋商采购公告</w:t>
      </w:r>
    </w:p>
    <w:p w14:paraId="77D096AA">
      <w:pPr>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ascii="黑体" w:hAnsi="黑体" w:eastAsia="黑体" w:cs="华文中宋"/>
          <w:color w:val="000000"/>
          <w:sz w:val="36"/>
          <w:szCs w:val="36"/>
          <w:highlight w:val="none"/>
          <w:lang w:val="zh-CN"/>
        </w:rPr>
      </w:pPr>
    </w:p>
    <w:p w14:paraId="5504BB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为有力保障</w:t>
      </w:r>
      <w:r>
        <w:rPr>
          <w:rFonts w:hint="eastAsia" w:eastAsia="仿宋_GB2312" w:cs="Times New Roman"/>
          <w:sz w:val="32"/>
          <w:szCs w:val="32"/>
          <w:highlight w:val="none"/>
          <w:lang w:val="en-US" w:eastAsia="zh-CN"/>
        </w:rPr>
        <w:t>全市</w:t>
      </w:r>
      <w:r>
        <w:rPr>
          <w:rFonts w:hint="default" w:ascii="Times New Roman" w:hAnsi="Times New Roman" w:eastAsia="仿宋_GB2312" w:cs="Times New Roman"/>
          <w:sz w:val="32"/>
          <w:szCs w:val="32"/>
          <w:highlight w:val="none"/>
        </w:rPr>
        <w:t>林草生态综合监测评价、营造林核查、森林督查等业务工作高效开展，苏州市林业站拟邀请具有相关条件并有意向的优质供应商参加苏州市林业站2025年林调通采购项目竞争性磋商。现将有关事项说明如下：</w:t>
      </w:r>
    </w:p>
    <w:p w14:paraId="7524E1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一、项目基本情况</w:t>
      </w:r>
    </w:p>
    <w:p w14:paraId="24005D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highlight w:val="none"/>
        </w:rPr>
      </w:pPr>
      <w:r>
        <w:rPr>
          <w:rFonts w:hint="default" w:ascii="Times New Roman" w:hAnsi="Times New Roman" w:eastAsia="仿宋_GB2312" w:cs="Times New Roman"/>
          <w:sz w:val="32"/>
          <w:szCs w:val="32"/>
          <w:highlight w:val="none"/>
        </w:rPr>
        <w:t>项目名称：苏州市林业站2025年林调通采购项目</w:t>
      </w:r>
    </w:p>
    <w:p w14:paraId="6B7AC6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采购方式：</w:t>
      </w:r>
      <w:r>
        <w:rPr>
          <w:rFonts w:hint="default" w:eastAsia="仿宋_GB2312"/>
          <w:sz w:val="32"/>
          <w:szCs w:val="32"/>
          <w:highlight w:val="none"/>
        </w:rPr>
        <w:t>竞争性磋商</w:t>
      </w:r>
    </w:p>
    <w:p w14:paraId="4A6900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预算金额：</w:t>
      </w:r>
      <w:r>
        <w:rPr>
          <w:rFonts w:hint="eastAsia" w:eastAsia="仿宋_GB2312" w:cs="Times New Roman"/>
          <w:sz w:val="32"/>
          <w:szCs w:val="32"/>
          <w:lang w:val="en-US" w:eastAsia="zh-CN"/>
        </w:rPr>
        <w:t>7.5</w:t>
      </w:r>
      <w:r>
        <w:rPr>
          <w:rFonts w:hint="default" w:ascii="Times New Roman" w:hAnsi="Times New Roman" w:eastAsia="仿宋_GB2312" w:cs="Times New Roman"/>
          <w:sz w:val="32"/>
          <w:szCs w:val="32"/>
        </w:rPr>
        <w:t>万元</w:t>
      </w:r>
    </w:p>
    <w:p w14:paraId="3ADAF1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最高限价：</w:t>
      </w:r>
      <w:r>
        <w:rPr>
          <w:rFonts w:hint="eastAsia" w:eastAsia="仿宋_GB2312" w:cs="Times New Roman"/>
          <w:sz w:val="32"/>
          <w:szCs w:val="32"/>
          <w:lang w:val="en-US" w:eastAsia="zh-CN"/>
        </w:rPr>
        <w:t>7.5</w:t>
      </w:r>
      <w:r>
        <w:rPr>
          <w:rFonts w:hint="default" w:ascii="Times New Roman" w:hAnsi="Times New Roman" w:eastAsia="仿宋_GB2312" w:cs="Times New Roman"/>
          <w:sz w:val="32"/>
          <w:szCs w:val="32"/>
        </w:rPr>
        <w:t>万元</w:t>
      </w:r>
    </w:p>
    <w:p w14:paraId="1C850C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采购需求：</w:t>
      </w:r>
      <w:r>
        <w:rPr>
          <w:rFonts w:hint="eastAsia" w:eastAsia="仿宋_GB2312" w:cs="Times New Roman"/>
          <w:sz w:val="32"/>
          <w:szCs w:val="32"/>
          <w:lang w:val="en-US" w:eastAsia="zh-CN"/>
        </w:rPr>
        <w:t>数量5台，具体参数见附件</w:t>
      </w:r>
    </w:p>
    <w:p w14:paraId="2048F6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、报价须知</w:t>
      </w:r>
    </w:p>
    <w:p w14:paraId="1A7FE2E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（一）供应商资格要求</w:t>
      </w:r>
    </w:p>
    <w:p w14:paraId="064E1C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需满足《中华人民共和国政府采购法》第二十二条规定的要求，同时满足以下条件：</w:t>
      </w:r>
    </w:p>
    <w:p w14:paraId="161289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1.单位负责人为同一人或者存在直接控股、管理关系的不同供应商，不得参加同一合同项下的采购活动。</w:t>
      </w:r>
    </w:p>
    <w:p w14:paraId="0DFAC9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2.具有独立承担民事责任能力；</w:t>
      </w:r>
    </w:p>
    <w:p w14:paraId="4C822B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3.具有良好的商业信誉和健全的财务会计制度；</w:t>
      </w:r>
    </w:p>
    <w:p w14:paraId="139ACA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4.具有履行合同所必需的设备、人员和专业技术能力；</w:t>
      </w:r>
    </w:p>
    <w:p w14:paraId="0907C0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5.有依法缴纳税收和社会保障资金的良好记录；</w:t>
      </w:r>
    </w:p>
    <w:p w14:paraId="7D8CC8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t>6.参加采购活动前三年内，在经营活动中没有违法记录</w:t>
      </w:r>
      <w:r>
        <w:rPr>
          <w:rFonts w:hint="default" w:ascii="Times New Roman" w:hAnsi="Times New Roman" w:eastAsia="仿宋_GB2312" w:cs="Times New Roman"/>
          <w:sz w:val="32"/>
          <w:szCs w:val="32"/>
          <w:highlight w:val="none"/>
        </w:rPr>
        <w:t>。</w:t>
      </w:r>
    </w:p>
    <w:p w14:paraId="64D8639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（二）评标标准</w:t>
      </w:r>
    </w:p>
    <w:p w14:paraId="203DC4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1.在符合或高于采购文件各项要求的情况下，采购人考虑价格、承诺、</w:t>
      </w:r>
      <w:r>
        <w:rPr>
          <w:rFonts w:hint="eastAsia" w:eastAsia="仿宋_GB2312" w:cs="Times New Roman"/>
          <w:sz w:val="32"/>
          <w:szCs w:val="32"/>
          <w:lang w:val="en-US" w:eastAsia="zh-CN"/>
        </w:rPr>
        <w:t>售后保障</w:t>
      </w:r>
      <w:r>
        <w:rPr>
          <w:rFonts w:hint="default" w:ascii="Times New Roman" w:hAnsi="Times New Roman" w:eastAsia="仿宋_GB2312" w:cs="Times New Roman"/>
          <w:sz w:val="32"/>
          <w:szCs w:val="32"/>
        </w:rPr>
        <w:t>等综合因素择优选择供应商。</w:t>
      </w:r>
    </w:p>
    <w:p w14:paraId="507A05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2.供应商报价和承诺一经认可，即为成交的合同价；供应商如对本询价函报价，即不可撤回。</w:t>
      </w:r>
    </w:p>
    <w:p w14:paraId="5E3C54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3.报价标准：本次采购最高限价不超过</w:t>
      </w:r>
      <w:r>
        <w:rPr>
          <w:rFonts w:hint="eastAsia" w:eastAsia="仿宋_GB2312" w:cs="Times New Roman"/>
          <w:sz w:val="32"/>
          <w:szCs w:val="32"/>
          <w:lang w:val="en-US" w:eastAsia="zh-CN"/>
        </w:rPr>
        <w:t>人民币7.5</w:t>
      </w:r>
      <w:r>
        <w:rPr>
          <w:rFonts w:hint="default" w:ascii="Times New Roman" w:hAnsi="Times New Roman" w:eastAsia="仿宋_GB2312" w:cs="Times New Roman"/>
          <w:sz w:val="32"/>
          <w:szCs w:val="32"/>
        </w:rPr>
        <w:t>万元。</w:t>
      </w:r>
    </w:p>
    <w:p w14:paraId="15C661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4.本项目不接受联合体投标</w:t>
      </w:r>
      <w:r>
        <w:rPr>
          <w:rFonts w:hint="eastAsia" w:eastAsia="仿宋_GB2312" w:cs="Times New Roman"/>
          <w:sz w:val="32"/>
          <w:szCs w:val="32"/>
          <w:lang w:eastAsia="zh-CN"/>
        </w:rPr>
        <w:t>且</w:t>
      </w:r>
      <w:r>
        <w:rPr>
          <w:rFonts w:hint="default" w:ascii="Times New Roman" w:hAnsi="Times New Roman" w:eastAsia="仿宋_GB2312" w:cs="Times New Roman"/>
          <w:sz w:val="32"/>
          <w:szCs w:val="32"/>
        </w:rPr>
        <w:t>不得分包</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各供应商的报价应包含成本、利润、</w:t>
      </w:r>
      <w:r>
        <w:rPr>
          <w:rFonts w:hint="eastAsia" w:eastAsia="仿宋_GB2312" w:cs="Times New Roman"/>
          <w:sz w:val="32"/>
          <w:szCs w:val="32"/>
          <w:lang w:eastAsia="zh-CN"/>
        </w:rPr>
        <w:t>人员费用、</w:t>
      </w:r>
      <w:r>
        <w:rPr>
          <w:rFonts w:hint="default" w:ascii="Times New Roman" w:hAnsi="Times New Roman" w:eastAsia="仿宋_GB2312" w:cs="Times New Roman"/>
          <w:sz w:val="32"/>
          <w:szCs w:val="32"/>
        </w:rPr>
        <w:t>税金等所有费用</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因供应商自身原因造成漏报、少报皆由供应商自行承担责任。</w:t>
      </w:r>
    </w:p>
    <w:p w14:paraId="06A0E92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（三）材料要求及报送方式</w:t>
      </w:r>
    </w:p>
    <w:p w14:paraId="55345E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1.供应商根据我单位采购服务要求，提供一次性书面报价</w:t>
      </w:r>
      <w:r>
        <w:rPr>
          <w:rFonts w:hint="eastAsia" w:eastAsia="仿宋_GB2312" w:cs="Times New Roman"/>
          <w:sz w:val="32"/>
          <w:szCs w:val="32"/>
          <w:lang w:eastAsia="zh-CN"/>
        </w:rPr>
        <w:t>、</w:t>
      </w:r>
      <w:r>
        <w:rPr>
          <w:rFonts w:hint="eastAsia" w:eastAsia="仿宋_GB2312" w:cs="Times New Roman"/>
          <w:sz w:val="32"/>
          <w:szCs w:val="32"/>
          <w:lang w:val="en-US" w:eastAsia="zh-CN"/>
        </w:rPr>
        <w:t>产品参数、</w:t>
      </w:r>
      <w:r>
        <w:rPr>
          <w:rFonts w:hint="default" w:ascii="Times New Roman" w:hAnsi="Times New Roman" w:eastAsia="仿宋_GB2312" w:cs="Times New Roman"/>
          <w:sz w:val="32"/>
          <w:szCs w:val="32"/>
        </w:rPr>
        <w:t>服务承诺</w:t>
      </w:r>
      <w:r>
        <w:rPr>
          <w:rFonts w:hint="eastAsia" w:eastAsia="仿宋_GB2312" w:cs="Times New Roman"/>
          <w:sz w:val="32"/>
          <w:szCs w:val="32"/>
          <w:lang w:val="en-US" w:eastAsia="zh-CN"/>
        </w:rPr>
        <w:t>和售后保障</w:t>
      </w:r>
      <w:r>
        <w:rPr>
          <w:rFonts w:hint="default" w:ascii="Times New Roman" w:hAnsi="Times New Roman" w:eastAsia="仿宋_GB2312" w:cs="Times New Roman"/>
          <w:sz w:val="32"/>
          <w:szCs w:val="32"/>
        </w:rPr>
        <w:t>等材料；</w:t>
      </w:r>
    </w:p>
    <w:p w14:paraId="4715B2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2.法定代表人身份证复印件； </w:t>
      </w:r>
    </w:p>
    <w:p w14:paraId="5F1BA2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3.营业执照复印件、股东信息；</w:t>
      </w:r>
    </w:p>
    <w:p w14:paraId="61DF8F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rPr>
        <w:t>4.</w:t>
      </w:r>
      <w:r>
        <w:rPr>
          <w:rFonts w:hint="eastAsia" w:eastAsia="仿宋_GB2312" w:cs="Times New Roman"/>
          <w:sz w:val="32"/>
          <w:szCs w:val="32"/>
          <w:lang w:val="en-US" w:eastAsia="zh-CN"/>
        </w:rPr>
        <w:t>年度年财务状况报告（表）复印件，新成立不足1年的公司提供投标截止时间前一个月的财务状况报告（表）复印件或提供诚信声明；</w:t>
      </w:r>
    </w:p>
    <w:p w14:paraId="551CE6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5.年度纳税记录复印件</w:t>
      </w:r>
      <w:r>
        <w:rPr>
          <w:rFonts w:hint="eastAsia" w:eastAsia="仿宋_GB2312" w:cs="Times New Roman"/>
          <w:sz w:val="32"/>
          <w:szCs w:val="32"/>
          <w:lang w:eastAsia="zh-CN"/>
        </w:rPr>
        <w:t>及社保缴纳记录的复印件</w:t>
      </w:r>
      <w:r>
        <w:rPr>
          <w:rFonts w:hint="eastAsia" w:eastAsia="仿宋_GB2312" w:cs="Times New Roman"/>
          <w:sz w:val="32"/>
          <w:szCs w:val="32"/>
          <w:lang w:val="en-US" w:eastAsia="zh-CN"/>
        </w:rPr>
        <w:t>，新成立不足1年的公司提供提交响应文件截止时间前一个月的纳税记录复印件或提供诚信声明；</w:t>
      </w:r>
    </w:p>
    <w:p w14:paraId="30D8BE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rPr>
      </w:pPr>
      <w:r>
        <w:rPr>
          <w:rFonts w:hint="eastAsia" w:eastAsia="仿宋_GB2312" w:cs="Times New Roman"/>
          <w:sz w:val="32"/>
          <w:szCs w:val="32"/>
          <w:lang w:val="en-US" w:eastAsia="zh-CN"/>
        </w:rPr>
        <w:t>6.</w:t>
      </w:r>
      <w:r>
        <w:rPr>
          <w:rFonts w:hint="default" w:ascii="Times New Roman" w:hAnsi="Times New Roman" w:eastAsia="仿宋_GB2312" w:cs="Times New Roman"/>
          <w:sz w:val="32"/>
          <w:szCs w:val="32"/>
        </w:rPr>
        <w:t>以上</w:t>
      </w:r>
      <w:r>
        <w:rPr>
          <w:rFonts w:hint="default" w:ascii="Times New Roman" w:hAnsi="Times New Roman" w:eastAsia="仿宋_GB2312" w:cs="Times New Roman"/>
          <w:sz w:val="32"/>
          <w:szCs w:val="32"/>
          <w:highlight w:val="none"/>
        </w:rPr>
        <w:t>所有报名资料复印件均需加盖公章</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材料一式两份密封报送。</w:t>
      </w:r>
    </w:p>
    <w:p w14:paraId="6E0F114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 w:hAnsi="楷体" w:eastAsia="楷体" w:cs="楷体"/>
          <w:b/>
          <w:bCs/>
          <w:sz w:val="32"/>
          <w:szCs w:val="32"/>
          <w:highlight w:val="none"/>
          <w:lang w:eastAsia="zh-CN"/>
        </w:rPr>
      </w:pP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四</w:t>
      </w: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无效投标</w:t>
      </w:r>
    </w:p>
    <w:p w14:paraId="7BCB49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highlight w:val="none"/>
        </w:rPr>
      </w:pPr>
      <w:r>
        <w:rPr>
          <w:rFonts w:hint="default" w:eastAsia="仿宋_GB2312"/>
          <w:sz w:val="32"/>
          <w:szCs w:val="32"/>
          <w:highlight w:val="none"/>
        </w:rPr>
        <w:t>投标人发生以下条款情况之一者，视为无效</w:t>
      </w:r>
      <w:r>
        <w:rPr>
          <w:rFonts w:hint="eastAsia" w:eastAsia="仿宋_GB2312"/>
          <w:sz w:val="32"/>
          <w:szCs w:val="32"/>
          <w:highlight w:val="none"/>
          <w:lang w:val="en-US" w:eastAsia="zh-CN"/>
        </w:rPr>
        <w:t>响应</w:t>
      </w:r>
      <w:r>
        <w:rPr>
          <w:rFonts w:hint="default" w:eastAsia="仿宋_GB2312"/>
          <w:sz w:val="32"/>
          <w:szCs w:val="32"/>
          <w:highlight w:val="none"/>
        </w:rPr>
        <w:t>，其响应文件将被拒绝:</w:t>
      </w:r>
    </w:p>
    <w:p w14:paraId="3C0307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1.</w:t>
      </w:r>
      <w:r>
        <w:rPr>
          <w:rFonts w:hint="default" w:eastAsia="仿宋_GB2312"/>
          <w:sz w:val="32"/>
          <w:szCs w:val="32"/>
        </w:rPr>
        <w:t>投标人不具备文件规定的资格要求的。</w:t>
      </w:r>
    </w:p>
    <w:p w14:paraId="7AFC92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2.</w:t>
      </w:r>
      <w:r>
        <w:rPr>
          <w:rFonts w:hint="default" w:eastAsia="仿宋_GB2312"/>
          <w:sz w:val="32"/>
          <w:szCs w:val="32"/>
        </w:rPr>
        <w:t>投标文件未按照文件要求</w:t>
      </w:r>
      <w:r>
        <w:rPr>
          <w:rFonts w:hint="eastAsia" w:eastAsia="仿宋_GB2312"/>
          <w:sz w:val="32"/>
          <w:szCs w:val="32"/>
          <w:lang w:eastAsia="zh-CN"/>
        </w:rPr>
        <w:t>密封、</w:t>
      </w:r>
      <w:r>
        <w:rPr>
          <w:rFonts w:hint="default" w:eastAsia="仿宋_GB2312"/>
          <w:sz w:val="32"/>
          <w:szCs w:val="32"/>
        </w:rPr>
        <w:t>签署和盖章</w:t>
      </w:r>
      <w:r>
        <w:rPr>
          <w:rFonts w:hint="eastAsia" w:eastAsia="仿宋_GB2312"/>
          <w:sz w:val="32"/>
          <w:szCs w:val="32"/>
          <w:lang w:eastAsia="zh-CN"/>
        </w:rPr>
        <w:t>的</w:t>
      </w:r>
      <w:r>
        <w:rPr>
          <w:rFonts w:hint="default" w:eastAsia="仿宋_GB2312"/>
          <w:sz w:val="32"/>
          <w:szCs w:val="32"/>
        </w:rPr>
        <w:t>。</w:t>
      </w:r>
    </w:p>
    <w:p w14:paraId="552730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3.</w:t>
      </w:r>
      <w:r>
        <w:rPr>
          <w:rFonts w:hint="default" w:eastAsia="仿宋_GB2312"/>
          <w:sz w:val="32"/>
          <w:szCs w:val="32"/>
        </w:rPr>
        <w:t>投标文件出现多个投标方案或投标报价的。</w:t>
      </w:r>
    </w:p>
    <w:p w14:paraId="640A0E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4.</w:t>
      </w:r>
      <w:r>
        <w:rPr>
          <w:rFonts w:hint="default" w:eastAsia="仿宋_GB2312"/>
          <w:sz w:val="32"/>
          <w:szCs w:val="32"/>
        </w:rPr>
        <w:t>投标报价超过最高采购限价的。</w:t>
      </w:r>
    </w:p>
    <w:p w14:paraId="696E64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5.</w:t>
      </w:r>
      <w:r>
        <w:rPr>
          <w:rFonts w:hint="default" w:eastAsia="仿宋_GB2312"/>
          <w:sz w:val="32"/>
          <w:szCs w:val="32"/>
        </w:rPr>
        <w:t>投标文件对采购人技术及</w:t>
      </w:r>
      <w:r>
        <w:rPr>
          <w:rFonts w:hint="eastAsia" w:eastAsia="仿宋_GB2312"/>
          <w:sz w:val="32"/>
          <w:szCs w:val="32"/>
          <w:lang w:val="en-US" w:eastAsia="zh-CN"/>
        </w:rPr>
        <w:t>服务</w:t>
      </w:r>
      <w:bookmarkStart w:id="0" w:name="_GoBack"/>
      <w:bookmarkEnd w:id="0"/>
      <w:r>
        <w:rPr>
          <w:rFonts w:hint="default" w:eastAsia="仿宋_GB2312"/>
          <w:sz w:val="32"/>
          <w:szCs w:val="32"/>
        </w:rPr>
        <w:t>要求不能满足的。</w:t>
      </w:r>
    </w:p>
    <w:p w14:paraId="5993E8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6.</w:t>
      </w:r>
      <w:r>
        <w:rPr>
          <w:rFonts w:hint="default" w:eastAsia="仿宋_GB2312"/>
          <w:sz w:val="32"/>
          <w:szCs w:val="32"/>
        </w:rPr>
        <w:t>投标文件内容有与国家现行法律法规相违背的内容，或附有采购人无法接受的条件。</w:t>
      </w:r>
    </w:p>
    <w:p w14:paraId="56F16A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eastAsia" w:eastAsia="黑体" w:cs="Times New Roman"/>
          <w:sz w:val="32"/>
          <w:szCs w:val="32"/>
          <w:lang w:val="en-US" w:eastAsia="zh-CN"/>
        </w:rPr>
        <w:t>三</w:t>
      </w:r>
      <w:r>
        <w:rPr>
          <w:rFonts w:hint="default" w:ascii="Times New Roman" w:hAnsi="Times New Roman" w:eastAsia="黑体" w:cs="Times New Roman"/>
          <w:sz w:val="32"/>
          <w:szCs w:val="32"/>
        </w:rPr>
        <w:t>、法律责任</w:t>
      </w:r>
    </w:p>
    <w:p w14:paraId="0F1E4A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中华人民共和国政府采购法》第七十七条的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二）采取不正当手段诋毁、排挤其他供应商的；（三）与采购人、其他供应商或者采购代理机构恶意串通的；（四）向采购人、采购代理机构行贿或者提供其他不正当利益的；（五）在招标采购过程中与采购人进行协商谈判的；（六）拒绝有关部门监督检查或者提供虚假情况的。供应商有前款第（一）至（五）项情形之一的，中标、成交无效。</w:t>
      </w:r>
    </w:p>
    <w:p w14:paraId="094DCC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rPr>
      </w:pPr>
      <w:r>
        <w:rPr>
          <w:rFonts w:hint="eastAsia" w:eastAsia="黑体" w:cs="Times New Roman"/>
          <w:kern w:val="0"/>
          <w:sz w:val="32"/>
          <w:szCs w:val="32"/>
          <w:lang w:val="en-US" w:eastAsia="zh-CN"/>
        </w:rPr>
        <w:t>四</w:t>
      </w:r>
      <w:r>
        <w:rPr>
          <w:rFonts w:hint="default" w:ascii="Times New Roman" w:hAnsi="Times New Roman" w:eastAsia="黑体" w:cs="Times New Roman"/>
          <w:kern w:val="0"/>
          <w:sz w:val="32"/>
          <w:szCs w:val="32"/>
        </w:rPr>
        <w:t>、材料接收与截止时间</w:t>
      </w:r>
    </w:p>
    <w:p w14:paraId="79A250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材料接收人：苏州市林业站</w:t>
      </w:r>
      <w:r>
        <w:rPr>
          <w:rFonts w:hint="eastAsia" w:eastAsia="仿宋_GB2312" w:cs="Times New Roman"/>
          <w:sz w:val="32"/>
          <w:szCs w:val="32"/>
          <w:lang w:eastAsia="zh-CN"/>
        </w:rPr>
        <w:t>办公室</w:t>
      </w:r>
      <w:r>
        <w:rPr>
          <w:rFonts w:hint="default" w:ascii="Times New Roman" w:hAnsi="Times New Roman" w:eastAsia="仿宋_GB2312" w:cs="Times New Roman"/>
          <w:sz w:val="32"/>
          <w:szCs w:val="32"/>
        </w:rPr>
        <w:t>，电话0512-65</w:t>
      </w:r>
      <w:r>
        <w:rPr>
          <w:rFonts w:hint="eastAsia" w:eastAsia="仿宋_GB2312" w:cs="Times New Roman"/>
          <w:sz w:val="32"/>
          <w:szCs w:val="32"/>
          <w:lang w:val="en-US" w:eastAsia="zh-CN"/>
        </w:rPr>
        <w:t>617265</w:t>
      </w:r>
      <w:r>
        <w:rPr>
          <w:rFonts w:hint="default" w:ascii="Times New Roman" w:hAnsi="Times New Roman" w:eastAsia="仿宋_GB2312" w:cs="Times New Roman"/>
          <w:sz w:val="32"/>
          <w:szCs w:val="32"/>
        </w:rPr>
        <w:t>。</w:t>
      </w:r>
    </w:p>
    <w:p w14:paraId="0CFA42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材料寄送地址：苏州市公园路255号。</w:t>
      </w:r>
    </w:p>
    <w:p w14:paraId="429561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lang w:val="en-US" w:eastAsia="zh-CN"/>
        </w:rPr>
        <w:t>提交响应文件</w:t>
      </w:r>
      <w:r>
        <w:rPr>
          <w:rFonts w:hint="default" w:ascii="Times New Roman" w:hAnsi="Times New Roman" w:eastAsia="仿宋_GB2312" w:cs="Times New Roman"/>
          <w:sz w:val="32"/>
          <w:szCs w:val="32"/>
        </w:rPr>
        <w:t>时间</w:t>
      </w: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sz w:val="32"/>
          <w:szCs w:val="32"/>
          <w:highlight w:val="none"/>
          <w:lang w:eastAsia="zh-CN"/>
        </w:rPr>
        <w:t>202</w:t>
      </w:r>
      <w:r>
        <w:rPr>
          <w:rFonts w:hint="eastAsia"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年</w:t>
      </w:r>
      <w:r>
        <w:rPr>
          <w:rFonts w:hint="eastAsia"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月</w:t>
      </w:r>
      <w:r>
        <w:rPr>
          <w:rFonts w:hint="eastAsia"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 xml:space="preserve">日- </w:t>
      </w:r>
      <w:r>
        <w:rPr>
          <w:rFonts w:hint="eastAsia"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月</w:t>
      </w:r>
      <w:r>
        <w:rPr>
          <w:rFonts w:hint="eastAsia"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日。投标人应</w:t>
      </w:r>
      <w:r>
        <w:rPr>
          <w:rFonts w:hint="default" w:ascii="Times New Roman" w:hAnsi="Times New Roman" w:eastAsia="仿宋_GB2312" w:cs="Times New Roman"/>
          <w:sz w:val="32"/>
          <w:szCs w:val="32"/>
          <w:highlight w:val="none"/>
          <w:lang w:val="en-US" w:eastAsia="zh-CN"/>
        </w:rPr>
        <w:t>于</w:t>
      </w:r>
      <w:r>
        <w:rPr>
          <w:rFonts w:hint="default" w:ascii="Times New Roman" w:hAnsi="Times New Roman" w:eastAsia="仿宋_GB2312" w:cs="Times New Roman"/>
          <w:sz w:val="32"/>
          <w:szCs w:val="32"/>
          <w:highlight w:val="none"/>
          <w:lang w:eastAsia="zh-CN"/>
        </w:rPr>
        <w:t>202</w:t>
      </w:r>
      <w:r>
        <w:rPr>
          <w:rFonts w:hint="eastAsia"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年</w:t>
      </w:r>
      <w:r>
        <w:rPr>
          <w:rFonts w:hint="eastAsia"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月</w:t>
      </w:r>
      <w:r>
        <w:rPr>
          <w:rFonts w:hint="eastAsia"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日</w:t>
      </w:r>
      <w:r>
        <w:rPr>
          <w:rFonts w:hint="default" w:ascii="Times New Roman" w:hAnsi="Times New Roman" w:eastAsia="仿宋_GB2312" w:cs="Times New Roman"/>
          <w:sz w:val="32"/>
          <w:szCs w:val="32"/>
        </w:rPr>
        <w:t>17时</w:t>
      </w:r>
      <w:r>
        <w:rPr>
          <w:rFonts w:hint="default" w:ascii="Times New Roman" w:hAnsi="Times New Roman" w:eastAsia="仿宋_GB2312" w:cs="Times New Roman"/>
          <w:sz w:val="32"/>
          <w:szCs w:val="32"/>
          <w:highlight w:val="none"/>
        </w:rPr>
        <w:t>前将</w:t>
      </w:r>
      <w:r>
        <w:rPr>
          <w:rFonts w:hint="eastAsia" w:ascii="Times New Roman" w:hAnsi="Times New Roman" w:eastAsia="仿宋_GB2312" w:cs="Times New Roman"/>
          <w:sz w:val="32"/>
          <w:szCs w:val="32"/>
          <w:highlight w:val="none"/>
          <w:lang w:val="en-US" w:eastAsia="zh-CN"/>
        </w:rPr>
        <w:t>响应</w:t>
      </w:r>
      <w:r>
        <w:rPr>
          <w:rFonts w:hint="default" w:ascii="Times New Roman" w:hAnsi="Times New Roman" w:eastAsia="仿宋_GB2312" w:cs="Times New Roman"/>
          <w:sz w:val="32"/>
          <w:szCs w:val="32"/>
          <w:highlight w:val="none"/>
        </w:rPr>
        <w:t>文件密封送至苏州市林业站，逾期送达将予以拒收。</w:t>
      </w:r>
    </w:p>
    <w:p w14:paraId="3BC98449">
      <w:pPr>
        <w:pStyle w:val="2"/>
        <w:pageBreakBefore w:val="0"/>
        <w:widowControl w:val="0"/>
        <w:kinsoku/>
        <w:wordWrap/>
        <w:overflowPunct/>
        <w:topLinePunct w:val="0"/>
        <w:bidi w:val="0"/>
        <w:snapToGrid/>
        <w:spacing w:line="560" w:lineRule="exact"/>
        <w:textAlignment w:val="auto"/>
        <w:rPr>
          <w:rFonts w:hint="default" w:ascii="Times New Roman" w:hAnsi="Times New Roman" w:eastAsia="仿宋_GB2312" w:cs="Times New Roman"/>
          <w:sz w:val="32"/>
          <w:szCs w:val="32"/>
          <w:highlight w:val="none"/>
        </w:rPr>
      </w:pPr>
    </w:p>
    <w:p w14:paraId="74AF42E8">
      <w:pPr>
        <w:pageBreakBefore w:val="0"/>
        <w:widowControl w:val="0"/>
        <w:kinsoku/>
        <w:wordWrap/>
        <w:overflowPunct/>
        <w:topLinePunct w:val="0"/>
        <w:bidi w:val="0"/>
        <w:snapToGrid/>
        <w:spacing w:line="560" w:lineRule="exact"/>
        <w:textAlignment w:val="auto"/>
        <w:rPr>
          <w:rFonts w:hint="default"/>
        </w:rPr>
      </w:pPr>
    </w:p>
    <w:p w14:paraId="35957DF1">
      <w:pPr>
        <w:keepNext w:val="0"/>
        <w:keepLines w:val="0"/>
        <w:pageBreakBefore w:val="0"/>
        <w:widowControl w:val="0"/>
        <w:kinsoku/>
        <w:wordWrap/>
        <w:overflowPunct/>
        <w:topLinePunct w:val="0"/>
        <w:autoSpaceDE/>
        <w:autoSpaceDN/>
        <w:bidi w:val="0"/>
        <w:adjustRightInd/>
        <w:snapToGrid/>
        <w:spacing w:line="560" w:lineRule="exact"/>
        <w:ind w:firstLine="6080" w:firstLineChars="19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苏州市林业站</w:t>
      </w:r>
    </w:p>
    <w:p w14:paraId="711D6420">
      <w:pPr>
        <w:keepNext w:val="0"/>
        <w:keepLines w:val="0"/>
        <w:pageBreakBefore w:val="0"/>
        <w:widowControl w:val="0"/>
        <w:kinsoku/>
        <w:wordWrap/>
        <w:overflowPunct/>
        <w:topLinePunct w:val="0"/>
        <w:autoSpaceDE/>
        <w:autoSpaceDN/>
        <w:bidi w:val="0"/>
        <w:adjustRightInd/>
        <w:snapToGrid/>
        <w:spacing w:line="560" w:lineRule="exact"/>
        <w:ind w:firstLine="5760" w:firstLineChars="1800"/>
        <w:jc w:val="left"/>
        <w:textAlignment w:val="auto"/>
        <w:rPr>
          <w:rFonts w:hint="default" w:ascii="Times New Roman" w:hAnsi="Times New Roman" w:eastAsia="仿宋_GB2312" w:cs="Times New Roman"/>
          <w:sz w:val="32"/>
          <w:szCs w:val="32"/>
        </w:rPr>
        <w:sectPr>
          <w:footerReference r:id="rId3"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仿宋_GB2312" w:cs="Times New Roman"/>
          <w:sz w:val="32"/>
          <w:szCs w:val="32"/>
          <w:lang w:eastAsia="zh-CN"/>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eastAsia" w:eastAsia="仿宋_GB2312" w:cs="Times New Roman"/>
          <w:sz w:val="32"/>
          <w:szCs w:val="32"/>
          <w:lang w:val="en-US" w:eastAsia="zh-CN"/>
        </w:rPr>
        <w:t>31</w:t>
      </w:r>
      <w:r>
        <w:rPr>
          <w:rFonts w:hint="default" w:ascii="Times New Roman" w:hAnsi="Times New Roman" w:eastAsia="仿宋_GB2312" w:cs="Times New Roman"/>
          <w:sz w:val="32"/>
          <w:szCs w:val="32"/>
        </w:rPr>
        <w:t>日</w:t>
      </w:r>
    </w:p>
    <w:p w14:paraId="40B965F9">
      <w:pPr>
        <w:spacing w:line="580" w:lineRule="exact"/>
        <w:jc w:val="left"/>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附件</w:t>
      </w:r>
    </w:p>
    <w:tbl>
      <w:tblPr>
        <w:tblStyle w:val="8"/>
        <w:tblW w:w="0" w:type="auto"/>
        <w:jc w:val="center"/>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Layout w:type="autofit"/>
        <w:tblCellMar>
          <w:top w:w="0" w:type="dxa"/>
          <w:left w:w="108" w:type="dxa"/>
          <w:bottom w:w="0" w:type="dxa"/>
          <w:right w:w="108" w:type="dxa"/>
        </w:tblCellMar>
      </w:tblPr>
      <w:tblGrid>
        <w:gridCol w:w="2059"/>
        <w:gridCol w:w="1692"/>
        <w:gridCol w:w="4771"/>
      </w:tblGrid>
      <w:tr w14:paraId="6A046853">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jc w:val="center"/>
        </w:trPr>
        <w:tc>
          <w:tcPr>
            <w:tcW w:w="0" w:type="auto"/>
            <w:gridSpan w:val="3"/>
            <w:shd w:val="clear" w:color="auto" w:fill="BFBFBF"/>
          </w:tcPr>
          <w:p w14:paraId="7B28DF1D">
            <w:pPr>
              <w:keepNext w:val="0"/>
              <w:keepLines w:val="0"/>
              <w:pageBreakBefore w:val="0"/>
              <w:widowControl/>
              <w:tabs>
                <w:tab w:val="center" w:pos="4907"/>
                <w:tab w:val="left" w:pos="7200"/>
              </w:tabs>
              <w:kinsoku/>
              <w:wordWrap/>
              <w:overflowPunct/>
              <w:topLinePunct w:val="0"/>
              <w:autoSpaceDE/>
              <w:autoSpaceDN/>
              <w:bidi w:val="0"/>
              <w:adjustRightInd/>
              <w:snapToGrid/>
              <w:spacing w:line="400" w:lineRule="exact"/>
              <w:jc w:val="center"/>
              <w:textAlignment w:val="auto"/>
              <w:rPr>
                <w:rFonts w:hint="eastAsia" w:ascii="宋体" w:hAnsi="宋体" w:eastAsia="宋体" w:cs="新宋体-18030"/>
                <w:b/>
                <w:sz w:val="21"/>
                <w:szCs w:val="21"/>
                <w:lang w:eastAsia="zh-CN"/>
              </w:rPr>
            </w:pPr>
            <w:r>
              <w:rPr>
                <w:rFonts w:hint="eastAsia" w:ascii="黑体" w:hAnsi="黑体" w:eastAsia="黑体" w:cs="黑体"/>
                <w:b w:val="0"/>
                <w:bCs/>
                <w:sz w:val="21"/>
                <w:szCs w:val="21"/>
                <w:shd w:val="clear" w:color="auto" w:fill="BFBFBF"/>
                <w:lang w:val="en-US" w:eastAsia="zh-CN"/>
              </w:rPr>
              <w:t>林调通具体参数</w:t>
            </w:r>
          </w:p>
        </w:tc>
      </w:tr>
      <w:tr w14:paraId="50A84CD9">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jc w:val="center"/>
        </w:trPr>
        <w:tc>
          <w:tcPr>
            <w:tcW w:w="2059" w:type="dxa"/>
            <w:tcBorders>
              <w:right w:val="dashSmallGap" w:color="auto" w:sz="4" w:space="0"/>
            </w:tcBorders>
            <w:vAlign w:val="center"/>
          </w:tcPr>
          <w:p w14:paraId="31FA010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操作系统</w:t>
            </w:r>
          </w:p>
        </w:tc>
        <w:tc>
          <w:tcPr>
            <w:tcW w:w="6463" w:type="dxa"/>
            <w:gridSpan w:val="2"/>
            <w:tcBorders>
              <w:left w:val="dashSmallGap" w:color="auto" w:sz="4" w:space="0"/>
            </w:tcBorders>
          </w:tcPr>
          <w:p w14:paraId="08945BA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shd w:val="clear" w:color="auto" w:fill="FFFFFF"/>
              </w:rPr>
              <w:t>Android 10.0</w:t>
            </w:r>
          </w:p>
        </w:tc>
      </w:tr>
      <w:tr w14:paraId="71D660BD">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158" w:hRule="atLeast"/>
          <w:jc w:val="center"/>
        </w:trPr>
        <w:tc>
          <w:tcPr>
            <w:tcW w:w="2059" w:type="dxa"/>
            <w:vMerge w:val="restart"/>
            <w:tcBorders>
              <w:right w:val="dashSmallGap" w:color="auto" w:sz="4" w:space="0"/>
            </w:tcBorders>
            <w:vAlign w:val="center"/>
          </w:tcPr>
          <w:p w14:paraId="2B19434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处理器</w:t>
            </w:r>
          </w:p>
        </w:tc>
        <w:tc>
          <w:tcPr>
            <w:tcW w:w="1692" w:type="dxa"/>
            <w:tcBorders>
              <w:left w:val="dashSmallGap" w:color="auto" w:sz="4" w:space="0"/>
              <w:right w:val="dashSmallGap" w:color="auto" w:sz="4" w:space="0"/>
            </w:tcBorders>
          </w:tcPr>
          <w:p w14:paraId="1DCD313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处理器</w:t>
            </w:r>
          </w:p>
        </w:tc>
        <w:tc>
          <w:tcPr>
            <w:tcW w:w="4771" w:type="dxa"/>
            <w:tcBorders>
              <w:left w:val="dashSmallGap" w:color="auto" w:sz="4" w:space="0"/>
            </w:tcBorders>
          </w:tcPr>
          <w:p w14:paraId="4936428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ARM Cortex A73 octa-core</w:t>
            </w:r>
          </w:p>
        </w:tc>
      </w:tr>
      <w:tr w14:paraId="33218005">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157" w:hRule="atLeast"/>
          <w:jc w:val="center"/>
        </w:trPr>
        <w:tc>
          <w:tcPr>
            <w:tcW w:w="2059" w:type="dxa"/>
            <w:vMerge w:val="continue"/>
            <w:tcBorders>
              <w:right w:val="dashSmallGap" w:color="auto" w:sz="4" w:space="0"/>
            </w:tcBorders>
            <w:vAlign w:val="center"/>
          </w:tcPr>
          <w:p w14:paraId="64F0BC6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11FCEC0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图形显卡</w:t>
            </w:r>
          </w:p>
        </w:tc>
        <w:tc>
          <w:tcPr>
            <w:tcW w:w="4771" w:type="dxa"/>
            <w:tcBorders>
              <w:left w:val="dashSmallGap" w:color="auto" w:sz="4" w:space="0"/>
            </w:tcBorders>
          </w:tcPr>
          <w:p w14:paraId="2268BC3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ARM Mali-G72 MP3</w:t>
            </w:r>
          </w:p>
        </w:tc>
      </w:tr>
      <w:tr w14:paraId="534EEFAE">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310" w:hRule="atLeast"/>
          <w:jc w:val="center"/>
        </w:trPr>
        <w:tc>
          <w:tcPr>
            <w:tcW w:w="2059" w:type="dxa"/>
            <w:vMerge w:val="restart"/>
            <w:tcBorders>
              <w:right w:val="dashSmallGap" w:color="auto" w:sz="4" w:space="0"/>
            </w:tcBorders>
            <w:vAlign w:val="center"/>
          </w:tcPr>
          <w:p w14:paraId="379F722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GNSS</w:t>
            </w:r>
          </w:p>
        </w:tc>
        <w:tc>
          <w:tcPr>
            <w:tcW w:w="1692" w:type="dxa"/>
            <w:tcBorders>
              <w:left w:val="dashSmallGap" w:color="auto" w:sz="4" w:space="0"/>
              <w:right w:val="dashSmallGap" w:color="auto" w:sz="4" w:space="0"/>
            </w:tcBorders>
          </w:tcPr>
          <w:p w14:paraId="0F99271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定位导航</w:t>
            </w:r>
          </w:p>
        </w:tc>
        <w:tc>
          <w:tcPr>
            <w:tcW w:w="4771" w:type="dxa"/>
            <w:tcBorders>
              <w:left w:val="dashSmallGap" w:color="auto" w:sz="4" w:space="0"/>
            </w:tcBorders>
          </w:tcPr>
          <w:p w14:paraId="0A2A45D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GPS+格洛纳斯+北斗+AGPS +SBAS (EPO 2.5m)</w:t>
            </w:r>
          </w:p>
        </w:tc>
      </w:tr>
      <w:tr w14:paraId="1268D196">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310" w:hRule="atLeast"/>
          <w:jc w:val="center"/>
        </w:trPr>
        <w:tc>
          <w:tcPr>
            <w:tcW w:w="2059" w:type="dxa"/>
            <w:vMerge w:val="continue"/>
            <w:tcBorders>
              <w:right w:val="dashSmallGap" w:color="auto" w:sz="4" w:space="0"/>
            </w:tcBorders>
            <w:vAlign w:val="center"/>
          </w:tcPr>
          <w:p w14:paraId="65FC15C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0F5937B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天线类别</w:t>
            </w:r>
          </w:p>
        </w:tc>
        <w:tc>
          <w:tcPr>
            <w:tcW w:w="4771" w:type="dxa"/>
            <w:tcBorders>
              <w:left w:val="dashSmallGap" w:color="auto" w:sz="4" w:space="0"/>
            </w:tcBorders>
          </w:tcPr>
          <w:p w14:paraId="637656E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多星双频</w:t>
            </w:r>
          </w:p>
        </w:tc>
      </w:tr>
      <w:tr w14:paraId="4AD95224">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105" w:hRule="atLeast"/>
          <w:jc w:val="center"/>
        </w:trPr>
        <w:tc>
          <w:tcPr>
            <w:tcW w:w="2059" w:type="dxa"/>
            <w:vMerge w:val="continue"/>
            <w:tcBorders>
              <w:right w:val="dashSmallGap" w:color="auto" w:sz="4" w:space="0"/>
            </w:tcBorders>
            <w:vAlign w:val="center"/>
          </w:tcPr>
          <w:p w14:paraId="2E08494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47F5D7B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天线频段</w:t>
            </w:r>
          </w:p>
        </w:tc>
        <w:tc>
          <w:tcPr>
            <w:tcW w:w="4771" w:type="dxa"/>
            <w:tcBorders>
              <w:left w:val="dashSmallGap" w:color="auto" w:sz="4" w:space="0"/>
            </w:tcBorders>
          </w:tcPr>
          <w:p w14:paraId="6942FA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BDS B1/B2/B3; GPS L1/L2; GLONASS G1/G2; GALILEO E1/E5b</w:t>
            </w:r>
          </w:p>
        </w:tc>
      </w:tr>
      <w:tr w14:paraId="23B09445">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105" w:hRule="atLeast"/>
          <w:jc w:val="center"/>
        </w:trPr>
        <w:tc>
          <w:tcPr>
            <w:tcW w:w="2059" w:type="dxa"/>
            <w:vMerge w:val="continue"/>
            <w:tcBorders>
              <w:right w:val="dashSmallGap" w:color="auto" w:sz="4" w:space="0"/>
            </w:tcBorders>
            <w:vAlign w:val="center"/>
          </w:tcPr>
          <w:p w14:paraId="2FD2C3C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0ADE674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模块类别</w:t>
            </w:r>
          </w:p>
        </w:tc>
        <w:tc>
          <w:tcPr>
            <w:tcW w:w="4771" w:type="dxa"/>
            <w:tcBorders>
              <w:left w:val="dashSmallGap" w:color="auto" w:sz="4" w:space="0"/>
            </w:tcBorders>
          </w:tcPr>
          <w:p w14:paraId="351A62A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高精度多模双频模块(厘米级RTK)</w:t>
            </w:r>
          </w:p>
        </w:tc>
      </w:tr>
      <w:tr w14:paraId="07CBC112">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105" w:hRule="atLeast"/>
          <w:jc w:val="center"/>
        </w:trPr>
        <w:tc>
          <w:tcPr>
            <w:tcW w:w="2059" w:type="dxa"/>
            <w:vMerge w:val="continue"/>
            <w:tcBorders>
              <w:right w:val="dashSmallGap" w:color="auto" w:sz="4" w:space="0"/>
            </w:tcBorders>
            <w:vAlign w:val="center"/>
          </w:tcPr>
          <w:p w14:paraId="3C74301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4FF2DEC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单点定位精度</w:t>
            </w:r>
          </w:p>
        </w:tc>
        <w:tc>
          <w:tcPr>
            <w:tcW w:w="4771" w:type="dxa"/>
            <w:tcBorders>
              <w:left w:val="dashSmallGap" w:color="auto" w:sz="4" w:space="0"/>
            </w:tcBorders>
          </w:tcPr>
          <w:p w14:paraId="5BC0D44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0.8m CEP</w:t>
            </w:r>
          </w:p>
        </w:tc>
      </w:tr>
      <w:tr w14:paraId="1316B972">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105" w:hRule="atLeast"/>
          <w:jc w:val="center"/>
        </w:trPr>
        <w:tc>
          <w:tcPr>
            <w:tcW w:w="2059" w:type="dxa"/>
            <w:vMerge w:val="continue"/>
            <w:tcBorders>
              <w:right w:val="dashSmallGap" w:color="auto" w:sz="4" w:space="0"/>
            </w:tcBorders>
            <w:vAlign w:val="center"/>
          </w:tcPr>
          <w:p w14:paraId="5CE512E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09EC421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RTK精度</w:t>
            </w:r>
          </w:p>
        </w:tc>
        <w:tc>
          <w:tcPr>
            <w:tcW w:w="4771" w:type="dxa"/>
            <w:tcBorders>
              <w:left w:val="dashSmallGap" w:color="auto" w:sz="4" w:space="0"/>
            </w:tcBorders>
          </w:tcPr>
          <w:p w14:paraId="79A145A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≤10mm + 1 ppm CEP</w:t>
            </w:r>
          </w:p>
        </w:tc>
      </w:tr>
      <w:tr w14:paraId="5BD0DC62">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105" w:hRule="atLeast"/>
          <w:jc w:val="center"/>
        </w:trPr>
        <w:tc>
          <w:tcPr>
            <w:tcW w:w="2059" w:type="dxa"/>
            <w:vMerge w:val="continue"/>
            <w:tcBorders>
              <w:right w:val="dashSmallGap" w:color="auto" w:sz="4" w:space="0"/>
            </w:tcBorders>
            <w:vAlign w:val="center"/>
          </w:tcPr>
          <w:p w14:paraId="1DBA5D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33BB7B6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差分数据</w:t>
            </w:r>
          </w:p>
        </w:tc>
        <w:tc>
          <w:tcPr>
            <w:tcW w:w="4771" w:type="dxa"/>
            <w:tcBorders>
              <w:left w:val="dashSmallGap" w:color="auto" w:sz="4" w:space="0"/>
            </w:tcBorders>
          </w:tcPr>
          <w:p w14:paraId="4611470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RTCM v. 3.3, SPARTN v. 2.0</w:t>
            </w:r>
          </w:p>
        </w:tc>
      </w:tr>
      <w:tr w14:paraId="35337362">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210" w:hRule="atLeast"/>
          <w:jc w:val="center"/>
        </w:trPr>
        <w:tc>
          <w:tcPr>
            <w:tcW w:w="2059" w:type="dxa"/>
            <w:vMerge w:val="restart"/>
            <w:tcBorders>
              <w:right w:val="dashSmallGap" w:color="auto" w:sz="4" w:space="0"/>
            </w:tcBorders>
            <w:vAlign w:val="center"/>
          </w:tcPr>
          <w:p w14:paraId="7F025B7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存储</w:t>
            </w:r>
          </w:p>
        </w:tc>
        <w:tc>
          <w:tcPr>
            <w:tcW w:w="1692" w:type="dxa"/>
            <w:tcBorders>
              <w:left w:val="dashSmallGap" w:color="auto" w:sz="4" w:space="0"/>
              <w:right w:val="dashSmallGap" w:color="auto" w:sz="4" w:space="0"/>
            </w:tcBorders>
          </w:tcPr>
          <w:p w14:paraId="63EC830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RAM</w:t>
            </w:r>
          </w:p>
        </w:tc>
        <w:tc>
          <w:tcPr>
            <w:tcW w:w="4771" w:type="dxa"/>
            <w:tcBorders>
              <w:left w:val="dashSmallGap" w:color="auto" w:sz="4" w:space="0"/>
            </w:tcBorders>
          </w:tcPr>
          <w:p w14:paraId="74CF741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8GB</w:t>
            </w:r>
          </w:p>
        </w:tc>
      </w:tr>
      <w:tr w14:paraId="11448ABD">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PrEx>
        <w:trPr>
          <w:trHeight w:val="210" w:hRule="atLeast"/>
          <w:jc w:val="center"/>
        </w:trPr>
        <w:tc>
          <w:tcPr>
            <w:tcW w:w="2059" w:type="dxa"/>
            <w:vMerge w:val="continue"/>
            <w:tcBorders>
              <w:right w:val="dashSmallGap" w:color="auto" w:sz="4" w:space="0"/>
            </w:tcBorders>
            <w:vAlign w:val="center"/>
          </w:tcPr>
          <w:p w14:paraId="32035FB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1432CF9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机内ROM</w:t>
            </w:r>
          </w:p>
        </w:tc>
        <w:tc>
          <w:tcPr>
            <w:tcW w:w="4771" w:type="dxa"/>
            <w:tcBorders>
              <w:left w:val="dashSmallGap" w:color="auto" w:sz="4" w:space="0"/>
            </w:tcBorders>
          </w:tcPr>
          <w:p w14:paraId="4072C51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128GB</w:t>
            </w:r>
          </w:p>
        </w:tc>
      </w:tr>
      <w:tr w14:paraId="6DA8795D">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210" w:hRule="atLeast"/>
          <w:jc w:val="center"/>
        </w:trPr>
        <w:tc>
          <w:tcPr>
            <w:tcW w:w="2059" w:type="dxa"/>
            <w:vMerge w:val="continue"/>
            <w:tcBorders>
              <w:right w:val="dashSmallGap" w:color="auto" w:sz="4" w:space="0"/>
            </w:tcBorders>
            <w:vAlign w:val="center"/>
          </w:tcPr>
          <w:p w14:paraId="7EA8FCE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1922F19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扩展存储</w:t>
            </w:r>
          </w:p>
        </w:tc>
        <w:tc>
          <w:tcPr>
            <w:tcW w:w="4771" w:type="dxa"/>
            <w:tcBorders>
              <w:left w:val="dashSmallGap" w:color="auto" w:sz="4" w:space="0"/>
            </w:tcBorders>
          </w:tcPr>
          <w:p w14:paraId="040DA00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支持micro SD（TF）卡，最大支持256G</w:t>
            </w:r>
          </w:p>
        </w:tc>
      </w:tr>
      <w:tr w14:paraId="751B2C42">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jc w:val="center"/>
        </w:trPr>
        <w:tc>
          <w:tcPr>
            <w:tcW w:w="2059" w:type="dxa"/>
            <w:vMerge w:val="restart"/>
            <w:tcBorders>
              <w:right w:val="dashSmallGap" w:color="auto" w:sz="4" w:space="0"/>
            </w:tcBorders>
            <w:vAlign w:val="center"/>
          </w:tcPr>
          <w:p w14:paraId="3C16863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数据线接</w:t>
            </w:r>
          </w:p>
        </w:tc>
        <w:tc>
          <w:tcPr>
            <w:tcW w:w="1692" w:type="dxa"/>
            <w:tcBorders>
              <w:left w:val="dashSmallGap" w:color="auto" w:sz="4" w:space="0"/>
              <w:right w:val="dashSmallGap" w:color="auto" w:sz="4" w:space="0"/>
            </w:tcBorders>
          </w:tcPr>
          <w:p w14:paraId="764C6D4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USB接口</w:t>
            </w:r>
          </w:p>
        </w:tc>
        <w:tc>
          <w:tcPr>
            <w:tcW w:w="4771" w:type="dxa"/>
            <w:tcBorders>
              <w:left w:val="dashSmallGap" w:color="auto" w:sz="4" w:space="0"/>
            </w:tcBorders>
          </w:tcPr>
          <w:p w14:paraId="07C140D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USB Type-C接口，支持OTG</w:t>
            </w:r>
          </w:p>
        </w:tc>
      </w:tr>
      <w:tr w14:paraId="39F4C007">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jc w:val="center"/>
        </w:trPr>
        <w:tc>
          <w:tcPr>
            <w:tcW w:w="2059" w:type="dxa"/>
            <w:vMerge w:val="continue"/>
            <w:tcBorders>
              <w:right w:val="dashSmallGap" w:color="auto" w:sz="4" w:space="0"/>
            </w:tcBorders>
            <w:vAlign w:val="center"/>
          </w:tcPr>
          <w:p w14:paraId="3F75AC8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110E84B2">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SIM卡插槽</w:t>
            </w:r>
          </w:p>
        </w:tc>
        <w:tc>
          <w:tcPr>
            <w:tcW w:w="4771" w:type="dxa"/>
            <w:tcBorders>
              <w:left w:val="dashSmallGap" w:color="auto" w:sz="4" w:space="0"/>
            </w:tcBorders>
          </w:tcPr>
          <w:p w14:paraId="4478B16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1.8/3.3V SIM卡标准大卡</w:t>
            </w:r>
          </w:p>
        </w:tc>
      </w:tr>
      <w:tr w14:paraId="40E14154">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325" w:hRule="atLeast"/>
          <w:jc w:val="center"/>
        </w:trPr>
        <w:tc>
          <w:tcPr>
            <w:tcW w:w="2059" w:type="dxa"/>
            <w:vMerge w:val="continue"/>
            <w:tcBorders>
              <w:right w:val="dashSmallGap" w:color="auto" w:sz="4" w:space="0"/>
            </w:tcBorders>
            <w:vAlign w:val="center"/>
          </w:tcPr>
          <w:p w14:paraId="04CBDFB6">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0DBCDD4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充电器</w:t>
            </w:r>
          </w:p>
        </w:tc>
        <w:tc>
          <w:tcPr>
            <w:tcW w:w="4771" w:type="dxa"/>
            <w:tcBorders>
              <w:left w:val="dashSmallGap" w:color="auto" w:sz="4" w:space="0"/>
            </w:tcBorders>
          </w:tcPr>
          <w:p w14:paraId="319BDD6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5.0V 2A-10W</w:t>
            </w:r>
          </w:p>
        </w:tc>
      </w:tr>
      <w:tr w14:paraId="534AE4BB">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jc w:val="center"/>
        </w:trPr>
        <w:tc>
          <w:tcPr>
            <w:tcW w:w="2059" w:type="dxa"/>
            <w:vMerge w:val="restart"/>
            <w:tcBorders>
              <w:right w:val="dashSmallGap" w:color="auto" w:sz="4" w:space="0"/>
            </w:tcBorders>
            <w:vAlign w:val="center"/>
          </w:tcPr>
          <w:p w14:paraId="3FD1F80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屏幕特性</w:t>
            </w:r>
          </w:p>
        </w:tc>
        <w:tc>
          <w:tcPr>
            <w:tcW w:w="1692" w:type="dxa"/>
            <w:tcBorders>
              <w:left w:val="dashSmallGap" w:color="auto" w:sz="4" w:space="0"/>
              <w:right w:val="dashSmallGap" w:color="auto" w:sz="4" w:space="0"/>
            </w:tcBorders>
          </w:tcPr>
          <w:p w14:paraId="5D97FCF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屏幕尺寸</w:t>
            </w:r>
          </w:p>
        </w:tc>
        <w:tc>
          <w:tcPr>
            <w:tcW w:w="4771" w:type="dxa"/>
            <w:tcBorders>
              <w:left w:val="dashSmallGap" w:color="auto" w:sz="4" w:space="0"/>
            </w:tcBorders>
          </w:tcPr>
          <w:p w14:paraId="238896F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7英寸全视角工业级显示器HD</w:t>
            </w:r>
          </w:p>
        </w:tc>
      </w:tr>
      <w:tr w14:paraId="70AC8561">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jc w:val="center"/>
        </w:trPr>
        <w:tc>
          <w:tcPr>
            <w:tcW w:w="2059" w:type="dxa"/>
            <w:vMerge w:val="continue"/>
            <w:tcBorders>
              <w:right w:val="dashSmallGap" w:color="auto" w:sz="4" w:space="0"/>
            </w:tcBorders>
            <w:vAlign w:val="center"/>
          </w:tcPr>
          <w:p w14:paraId="15341C1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46D2DAD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分辨率及类型</w:t>
            </w:r>
          </w:p>
        </w:tc>
        <w:tc>
          <w:tcPr>
            <w:tcW w:w="4771" w:type="dxa"/>
            <w:tcBorders>
              <w:left w:val="dashSmallGap" w:color="auto" w:sz="4" w:space="0"/>
            </w:tcBorders>
          </w:tcPr>
          <w:p w14:paraId="7A23245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720*1280，1000尼特强光下完全可视</w:t>
            </w:r>
          </w:p>
        </w:tc>
      </w:tr>
      <w:tr w14:paraId="038FDCCD">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jc w:val="center"/>
        </w:trPr>
        <w:tc>
          <w:tcPr>
            <w:tcW w:w="2059" w:type="dxa"/>
            <w:vMerge w:val="continue"/>
            <w:tcBorders>
              <w:right w:val="dashSmallGap" w:color="auto" w:sz="4" w:space="0"/>
            </w:tcBorders>
            <w:vAlign w:val="center"/>
          </w:tcPr>
          <w:p w14:paraId="1F4BE29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4347F73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触屏类型</w:t>
            </w:r>
          </w:p>
        </w:tc>
        <w:tc>
          <w:tcPr>
            <w:tcW w:w="4771" w:type="dxa"/>
            <w:tcBorders>
              <w:left w:val="dashSmallGap" w:color="auto" w:sz="4" w:space="0"/>
            </w:tcBorders>
          </w:tcPr>
          <w:p w14:paraId="1D61FBE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电容屏，支持触笔操控</w:t>
            </w:r>
          </w:p>
        </w:tc>
      </w:tr>
      <w:tr w14:paraId="18A5BA9E">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jc w:val="center"/>
        </w:trPr>
        <w:tc>
          <w:tcPr>
            <w:tcW w:w="2059" w:type="dxa"/>
            <w:vMerge w:val="restart"/>
            <w:tcBorders>
              <w:right w:val="dashSmallGap" w:color="auto" w:sz="4" w:space="0"/>
            </w:tcBorders>
            <w:vAlign w:val="center"/>
          </w:tcPr>
          <w:p w14:paraId="3E29197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传感器及多媒体</w:t>
            </w:r>
          </w:p>
        </w:tc>
        <w:tc>
          <w:tcPr>
            <w:tcW w:w="1692" w:type="dxa"/>
            <w:tcBorders>
              <w:left w:val="dashSmallGap" w:color="auto" w:sz="4" w:space="0"/>
              <w:right w:val="dashSmallGap" w:color="auto" w:sz="4" w:space="0"/>
            </w:tcBorders>
            <w:vAlign w:val="center"/>
          </w:tcPr>
          <w:p w14:paraId="41E066D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传感器</w:t>
            </w:r>
          </w:p>
        </w:tc>
        <w:tc>
          <w:tcPr>
            <w:tcW w:w="4771" w:type="dxa"/>
            <w:tcBorders>
              <w:left w:val="dashSmallGap" w:color="auto" w:sz="4" w:space="0"/>
            </w:tcBorders>
          </w:tcPr>
          <w:p w14:paraId="7B31176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电子罗盘、加速度传感器、光线传感器，霍尔传感器、陀螺仪、运动传感器、重力传感器</w:t>
            </w:r>
          </w:p>
        </w:tc>
      </w:tr>
      <w:tr w14:paraId="45B85C58">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jc w:val="center"/>
        </w:trPr>
        <w:tc>
          <w:tcPr>
            <w:tcW w:w="2059" w:type="dxa"/>
            <w:vMerge w:val="continue"/>
            <w:tcBorders>
              <w:right w:val="dashSmallGap" w:color="auto" w:sz="4" w:space="0"/>
            </w:tcBorders>
            <w:vAlign w:val="center"/>
          </w:tcPr>
          <w:p w14:paraId="051F542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vAlign w:val="center"/>
          </w:tcPr>
          <w:p w14:paraId="3381CF2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摄像头</w:t>
            </w:r>
          </w:p>
        </w:tc>
        <w:tc>
          <w:tcPr>
            <w:tcW w:w="4771" w:type="dxa"/>
            <w:tcBorders>
              <w:left w:val="dashSmallGap" w:color="auto" w:sz="4" w:space="0"/>
            </w:tcBorders>
          </w:tcPr>
          <w:p w14:paraId="7D816FC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后置摄像头1300W像素（闪光灯），前置摄像头500W像素</w:t>
            </w:r>
          </w:p>
        </w:tc>
      </w:tr>
      <w:tr w14:paraId="5CF3411C">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314" w:hRule="atLeast"/>
          <w:jc w:val="center"/>
        </w:trPr>
        <w:tc>
          <w:tcPr>
            <w:tcW w:w="2059" w:type="dxa"/>
            <w:vMerge w:val="continue"/>
            <w:tcBorders>
              <w:right w:val="dashSmallGap" w:color="auto" w:sz="4" w:space="0"/>
            </w:tcBorders>
            <w:vAlign w:val="center"/>
          </w:tcPr>
          <w:p w14:paraId="05CF441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vAlign w:val="center"/>
          </w:tcPr>
          <w:p w14:paraId="08E69DD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音频</w:t>
            </w:r>
          </w:p>
        </w:tc>
        <w:tc>
          <w:tcPr>
            <w:tcW w:w="4771" w:type="dxa"/>
            <w:tcBorders>
              <w:left w:val="dashSmallGap" w:color="auto" w:sz="4" w:space="0"/>
            </w:tcBorders>
          </w:tcPr>
          <w:p w14:paraId="772C2BA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音频听筒、话筒、扬声器，3.5mm耳机接口</w:t>
            </w:r>
          </w:p>
        </w:tc>
      </w:tr>
      <w:tr w14:paraId="0A4FB0F3">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314" w:hRule="atLeast"/>
          <w:jc w:val="center"/>
        </w:trPr>
        <w:tc>
          <w:tcPr>
            <w:tcW w:w="2059" w:type="dxa"/>
            <w:vMerge w:val="restart"/>
            <w:tcBorders>
              <w:right w:val="dashSmallGap" w:color="auto" w:sz="4" w:space="0"/>
            </w:tcBorders>
            <w:vAlign w:val="center"/>
          </w:tcPr>
          <w:p w14:paraId="1FB1D68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工业设计和可靠性</w:t>
            </w:r>
          </w:p>
        </w:tc>
        <w:tc>
          <w:tcPr>
            <w:tcW w:w="1692" w:type="dxa"/>
            <w:tcBorders>
              <w:left w:val="dashSmallGap" w:color="auto" w:sz="4" w:space="0"/>
              <w:right w:val="dashSmallGap" w:color="auto" w:sz="4" w:space="0"/>
            </w:tcBorders>
          </w:tcPr>
          <w:p w14:paraId="37C2A46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震动防护</w:t>
            </w:r>
          </w:p>
        </w:tc>
        <w:tc>
          <w:tcPr>
            <w:tcW w:w="4771" w:type="dxa"/>
            <w:tcBorders>
              <w:left w:val="dashSmallGap" w:color="auto" w:sz="4" w:space="0"/>
            </w:tcBorders>
          </w:tcPr>
          <w:p w14:paraId="6670EAD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1-19Hz/1.0mm振幅19-200Hz/1.0g加速度</w:t>
            </w:r>
          </w:p>
        </w:tc>
      </w:tr>
      <w:tr w14:paraId="1B8F4189">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314" w:hRule="atLeast"/>
          <w:jc w:val="center"/>
        </w:trPr>
        <w:tc>
          <w:tcPr>
            <w:tcW w:w="2059" w:type="dxa"/>
            <w:vMerge w:val="continue"/>
            <w:tcBorders>
              <w:right w:val="dashSmallGap" w:color="auto" w:sz="4" w:space="0"/>
            </w:tcBorders>
            <w:vAlign w:val="center"/>
          </w:tcPr>
          <w:p w14:paraId="44B1160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6B30428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跌落和冲击防护</w:t>
            </w:r>
          </w:p>
        </w:tc>
        <w:tc>
          <w:tcPr>
            <w:tcW w:w="4771" w:type="dxa"/>
            <w:tcBorders>
              <w:left w:val="dashSmallGap" w:color="auto" w:sz="4" w:space="0"/>
            </w:tcBorders>
          </w:tcPr>
          <w:p w14:paraId="2CFF068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符合米尔军标MIL-STD-810跌落防护测试标准/触摸屏抗冲击保护等级IK05</w:t>
            </w:r>
          </w:p>
        </w:tc>
      </w:tr>
      <w:tr w14:paraId="37804314">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314" w:hRule="atLeast"/>
          <w:jc w:val="center"/>
        </w:trPr>
        <w:tc>
          <w:tcPr>
            <w:tcW w:w="2059" w:type="dxa"/>
            <w:vMerge w:val="continue"/>
            <w:tcBorders>
              <w:right w:val="dashSmallGap" w:color="auto" w:sz="4" w:space="0"/>
            </w:tcBorders>
            <w:vAlign w:val="center"/>
          </w:tcPr>
          <w:p w14:paraId="0C5C8FA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1C16D26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防水等级</w:t>
            </w:r>
          </w:p>
        </w:tc>
        <w:tc>
          <w:tcPr>
            <w:tcW w:w="4771" w:type="dxa"/>
            <w:tcBorders>
              <w:left w:val="dashSmallGap" w:color="auto" w:sz="4" w:space="0"/>
            </w:tcBorders>
          </w:tcPr>
          <w:p w14:paraId="07A07E4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7级防水IEC 60529</w:t>
            </w:r>
          </w:p>
        </w:tc>
      </w:tr>
      <w:tr w14:paraId="5473676E">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314" w:hRule="atLeast"/>
          <w:jc w:val="center"/>
        </w:trPr>
        <w:tc>
          <w:tcPr>
            <w:tcW w:w="2059" w:type="dxa"/>
            <w:vMerge w:val="continue"/>
            <w:tcBorders>
              <w:right w:val="dashSmallGap" w:color="auto" w:sz="4" w:space="0"/>
            </w:tcBorders>
            <w:vAlign w:val="center"/>
          </w:tcPr>
          <w:p w14:paraId="6AD653E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78FF473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防尘等级</w:t>
            </w:r>
          </w:p>
        </w:tc>
        <w:tc>
          <w:tcPr>
            <w:tcW w:w="4771" w:type="dxa"/>
            <w:tcBorders>
              <w:left w:val="dashSmallGap" w:color="auto" w:sz="4" w:space="0"/>
            </w:tcBorders>
          </w:tcPr>
          <w:p w14:paraId="4384735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6级防尘IEC 60529</w:t>
            </w:r>
          </w:p>
        </w:tc>
      </w:tr>
      <w:tr w14:paraId="411D46A7">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314" w:hRule="atLeast"/>
          <w:jc w:val="center"/>
        </w:trPr>
        <w:tc>
          <w:tcPr>
            <w:tcW w:w="2059" w:type="dxa"/>
            <w:vMerge w:val="continue"/>
            <w:tcBorders>
              <w:right w:val="dashSmallGap" w:color="auto" w:sz="4" w:space="0"/>
            </w:tcBorders>
            <w:vAlign w:val="center"/>
          </w:tcPr>
          <w:p w14:paraId="6EC2721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7F47377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运行温度</w:t>
            </w:r>
          </w:p>
        </w:tc>
        <w:tc>
          <w:tcPr>
            <w:tcW w:w="4771" w:type="dxa"/>
            <w:tcBorders>
              <w:left w:val="dashSmallGap" w:color="auto" w:sz="4" w:space="0"/>
            </w:tcBorders>
          </w:tcPr>
          <w:p w14:paraId="37DC25A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-20°C至55°C</w:t>
            </w:r>
          </w:p>
        </w:tc>
      </w:tr>
      <w:tr w14:paraId="0B12430D">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trHeight w:val="338" w:hRule="atLeast"/>
          <w:jc w:val="center"/>
        </w:trPr>
        <w:tc>
          <w:tcPr>
            <w:tcW w:w="2059" w:type="dxa"/>
            <w:vMerge w:val="restart"/>
            <w:tcBorders>
              <w:right w:val="dashSmallGap" w:color="auto" w:sz="4" w:space="0"/>
            </w:tcBorders>
            <w:vAlign w:val="center"/>
          </w:tcPr>
          <w:p w14:paraId="1BD199D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物理特性</w:t>
            </w:r>
          </w:p>
        </w:tc>
        <w:tc>
          <w:tcPr>
            <w:tcW w:w="1692" w:type="dxa"/>
            <w:tcBorders>
              <w:left w:val="dashSmallGap" w:color="auto" w:sz="4" w:space="0"/>
              <w:right w:val="dashSmallGap" w:color="auto" w:sz="4" w:space="0"/>
            </w:tcBorders>
          </w:tcPr>
          <w:p w14:paraId="6E185D0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电池容量</w:t>
            </w:r>
          </w:p>
        </w:tc>
        <w:tc>
          <w:tcPr>
            <w:tcW w:w="4771" w:type="dxa"/>
            <w:tcBorders>
              <w:left w:val="dashSmallGap" w:color="auto" w:sz="4" w:space="0"/>
            </w:tcBorders>
          </w:tcPr>
          <w:p w14:paraId="67536BE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10000mAh</w:t>
            </w:r>
          </w:p>
        </w:tc>
      </w:tr>
      <w:tr w14:paraId="34E5C7A7">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jc w:val="center"/>
        </w:trPr>
        <w:tc>
          <w:tcPr>
            <w:tcW w:w="2059" w:type="dxa"/>
            <w:vMerge w:val="continue"/>
            <w:tcBorders>
              <w:right w:val="dashSmallGap" w:color="auto" w:sz="4" w:space="0"/>
            </w:tcBorders>
            <w:vAlign w:val="center"/>
          </w:tcPr>
          <w:p w14:paraId="4278D80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4A45D20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尺寸</w:t>
            </w:r>
          </w:p>
        </w:tc>
        <w:tc>
          <w:tcPr>
            <w:tcW w:w="4771" w:type="dxa"/>
            <w:tcBorders>
              <w:left w:val="dashSmallGap" w:color="auto" w:sz="4" w:space="0"/>
            </w:tcBorders>
          </w:tcPr>
          <w:p w14:paraId="0ECBEDB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202*138*22mm (长宽高)</w:t>
            </w:r>
          </w:p>
        </w:tc>
      </w:tr>
      <w:tr w14:paraId="73C835A6">
        <w:tblPrEx>
          <w:tblBorders>
            <w:top w:val="single" w:color="auto" w:sz="4" w:space="0"/>
            <w:left w:val="single" w:color="auto" w:sz="4" w:space="0"/>
            <w:bottom w:val="single" w:color="auto" w:sz="4" w:space="0"/>
            <w:right w:val="single" w:color="auto" w:sz="4" w:space="0"/>
            <w:insideH w:val="dashSmallGap" w:color="auto" w:sz="4" w:space="0"/>
            <w:insideV w:val="single" w:color="auto" w:sz="4" w:space="0"/>
          </w:tblBorders>
          <w:tblCellMar>
            <w:top w:w="0" w:type="dxa"/>
            <w:left w:w="108" w:type="dxa"/>
            <w:bottom w:w="0" w:type="dxa"/>
            <w:right w:w="108" w:type="dxa"/>
          </w:tblCellMar>
        </w:tblPrEx>
        <w:trPr>
          <w:jc w:val="center"/>
        </w:trPr>
        <w:tc>
          <w:tcPr>
            <w:tcW w:w="2059" w:type="dxa"/>
            <w:vMerge w:val="continue"/>
            <w:tcBorders>
              <w:right w:val="dashSmallGap" w:color="auto" w:sz="4" w:space="0"/>
            </w:tcBorders>
            <w:vAlign w:val="center"/>
          </w:tcPr>
          <w:p w14:paraId="0848EF8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p>
        </w:tc>
        <w:tc>
          <w:tcPr>
            <w:tcW w:w="1692" w:type="dxa"/>
            <w:tcBorders>
              <w:left w:val="dashSmallGap" w:color="auto" w:sz="4" w:space="0"/>
              <w:right w:val="dashSmallGap" w:color="auto" w:sz="4" w:space="0"/>
            </w:tcBorders>
          </w:tcPr>
          <w:p w14:paraId="112E29B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重量</w:t>
            </w:r>
          </w:p>
        </w:tc>
        <w:tc>
          <w:tcPr>
            <w:tcW w:w="4771" w:type="dxa"/>
            <w:tcBorders>
              <w:left w:val="dashSmallGap" w:color="auto" w:sz="4" w:space="0"/>
            </w:tcBorders>
          </w:tcPr>
          <w:p w14:paraId="3ED67A0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约700g</w:t>
            </w:r>
          </w:p>
        </w:tc>
      </w:tr>
    </w:tbl>
    <w:p w14:paraId="63A409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rPr>
        <w:sectPr>
          <w:pgSz w:w="11906" w:h="16838"/>
          <w:pgMar w:top="1440" w:right="1800" w:bottom="1440" w:left="1800" w:header="851" w:footer="992" w:gutter="0"/>
          <w:pgNumType w:fmt="decimal"/>
          <w:cols w:space="425" w:num="1"/>
          <w:docGrid w:type="lines" w:linePitch="312" w:charSpace="0"/>
        </w:sectPr>
      </w:pPr>
    </w:p>
    <w:p w14:paraId="6DB1DB8F">
      <w:pPr>
        <w:spacing w:line="600" w:lineRule="exact"/>
        <w:jc w:val="center"/>
        <w:rPr>
          <w:rFonts w:ascii="方正小标宋简体" w:eastAsia="方正小标宋简体"/>
          <w:sz w:val="44"/>
          <w:szCs w:val="44"/>
        </w:rPr>
      </w:pPr>
      <w:r>
        <w:rPr>
          <w:rFonts w:hint="default" w:ascii="Times New Roman" w:hAnsi="Times New Roman" w:eastAsia="方正小标宋简体" w:cs="Times New Roman"/>
          <w:sz w:val="44"/>
          <w:szCs w:val="44"/>
        </w:rPr>
        <w:t>评分标</w:t>
      </w:r>
      <w:r>
        <w:rPr>
          <w:rFonts w:hint="eastAsia" w:ascii="方正小标宋简体" w:eastAsia="方正小标宋简体"/>
          <w:sz w:val="44"/>
          <w:szCs w:val="44"/>
        </w:rPr>
        <w:t>准</w:t>
      </w:r>
    </w:p>
    <w:p w14:paraId="59483BAC">
      <w:pPr>
        <w:spacing w:line="600" w:lineRule="exact"/>
        <w:ind w:firstLine="0" w:firstLineChars="0"/>
        <w:rPr>
          <w:rFonts w:ascii="宋体" w:hAnsi="宋体" w:eastAsia="宋体"/>
          <w:b/>
          <w:bCs/>
          <w:sz w:val="24"/>
          <w:szCs w:val="24"/>
        </w:rPr>
      </w:pPr>
    </w:p>
    <w:p w14:paraId="1C46EB0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cs="Times New Roman"/>
          <w:sz w:val="32"/>
          <w:szCs w:val="32"/>
        </w:rPr>
      </w:pPr>
      <w:r>
        <w:rPr>
          <w:rFonts w:ascii="黑体" w:hAnsi="黑体" w:eastAsia="黑体" w:cs="Times New Roman"/>
          <w:sz w:val="32"/>
          <w:szCs w:val="32"/>
        </w:rPr>
        <w:t>一、评标办法</w:t>
      </w:r>
    </w:p>
    <w:p w14:paraId="6D820DF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1.本次</w:t>
      </w:r>
      <w:r>
        <w:rPr>
          <w:rFonts w:hint="eastAsia" w:ascii="Times New Roman" w:hAnsi="Times New Roman" w:eastAsia="仿宋_GB2312" w:cs="Times New Roman"/>
          <w:sz w:val="32"/>
          <w:szCs w:val="32"/>
          <w:lang w:val="en-US" w:eastAsia="zh-CN"/>
        </w:rPr>
        <w:t>竞争性磋商</w:t>
      </w:r>
      <w:r>
        <w:rPr>
          <w:rFonts w:ascii="Times New Roman" w:hAnsi="Times New Roman" w:eastAsia="仿宋_GB2312" w:cs="Times New Roman"/>
          <w:sz w:val="32"/>
          <w:szCs w:val="32"/>
        </w:rPr>
        <w:t>采用综合评分法，即在响应文件满足询价文件全部实质性要求且按评审因素的量化指标评审得分最高的供应商为成交候选供应商</w:t>
      </w:r>
      <w:r>
        <w:rPr>
          <w:rFonts w:hint="eastAsia" w:eastAsia="仿宋_GB2312" w:cs="Times New Roman"/>
          <w:sz w:val="32"/>
          <w:szCs w:val="32"/>
          <w:lang w:eastAsia="zh-CN"/>
        </w:rPr>
        <w:t>的评审方法</w:t>
      </w:r>
      <w:r>
        <w:rPr>
          <w:rFonts w:ascii="Times New Roman" w:hAnsi="Times New Roman" w:eastAsia="仿宋_GB2312" w:cs="Times New Roman"/>
          <w:sz w:val="32"/>
          <w:szCs w:val="32"/>
        </w:rPr>
        <w:t>。</w:t>
      </w:r>
    </w:p>
    <w:p w14:paraId="348B88A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2.评审小组各成员独立对每个进入打分程序的有效供应商的响应文件技术和资质部分以打分的形式进行评审和评价。 </w:t>
      </w:r>
    </w:p>
    <w:p w14:paraId="60F8236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3.对评委的评分（除价格分外）进行统计汇总，直接算术平均计算得分，计算出每个供应商的得分，加上价格得分即为每个询价供应商的综合得分。 </w:t>
      </w:r>
    </w:p>
    <w:p w14:paraId="5F6FA6C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ascii="Times New Roman" w:hAnsi="Times New Roman" w:eastAsia="仿宋_GB2312" w:cs="Times New Roman"/>
          <w:sz w:val="32"/>
          <w:szCs w:val="32"/>
        </w:rPr>
        <w:t>4.如出现评审总得分最高的供应商有两个或两个以上的，以报价较低者优先作为成交候选人，如果报价也相同的，则由采购人组织以抽签方式确定成交候选人。</w:t>
      </w:r>
    </w:p>
    <w:p w14:paraId="396BA3A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cs="Times New Roman"/>
          <w:color w:val="000000"/>
          <w:sz w:val="32"/>
          <w:szCs w:val="32"/>
        </w:rPr>
      </w:pPr>
      <w:r>
        <w:rPr>
          <w:rFonts w:ascii="黑体" w:hAnsi="黑体" w:eastAsia="黑体" w:cs="Times New Roman"/>
          <w:color w:val="000000"/>
          <w:sz w:val="32"/>
          <w:szCs w:val="32"/>
        </w:rPr>
        <w:t>二、评分标准：</w:t>
      </w:r>
    </w:p>
    <w:p w14:paraId="2E956701">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jc w:val="left"/>
        <w:textAlignment w:val="auto"/>
        <w:rPr>
          <w:rFonts w:hint="default" w:ascii="Times New Roman" w:hAnsi="Times New Roman" w:eastAsia="楷体" w:cs="Times New Roman"/>
          <w:b w:val="0"/>
          <w:bCs w:val="0"/>
          <w:sz w:val="32"/>
          <w:szCs w:val="32"/>
        </w:rPr>
      </w:pPr>
      <w:r>
        <w:rPr>
          <w:rFonts w:hint="default" w:ascii="Times New Roman" w:hAnsi="Times New Roman" w:eastAsia="楷体" w:cs="Times New Roman"/>
          <w:b w:val="0"/>
          <w:bCs w:val="0"/>
          <w:sz w:val="32"/>
          <w:szCs w:val="32"/>
        </w:rPr>
        <w:t>（一）服务价格：（</w:t>
      </w:r>
      <w:r>
        <w:rPr>
          <w:rFonts w:hint="eastAsia" w:eastAsia="楷体" w:cs="Times New Roman"/>
          <w:b w:val="0"/>
          <w:bCs w:val="0"/>
          <w:sz w:val="32"/>
          <w:szCs w:val="32"/>
          <w:lang w:val="en-US" w:eastAsia="zh-CN"/>
        </w:rPr>
        <w:t>5</w:t>
      </w:r>
      <w:r>
        <w:rPr>
          <w:rFonts w:hint="eastAsia" w:ascii="Times New Roman" w:hAnsi="Times New Roman" w:eastAsia="楷体" w:cs="Times New Roman"/>
          <w:b w:val="0"/>
          <w:bCs w:val="0"/>
          <w:sz w:val="32"/>
          <w:szCs w:val="32"/>
          <w:lang w:val="en-US" w:eastAsia="zh-CN"/>
        </w:rPr>
        <w:t>0</w:t>
      </w:r>
      <w:r>
        <w:rPr>
          <w:rFonts w:hint="default" w:ascii="Times New Roman" w:hAnsi="Times New Roman" w:eastAsia="楷体" w:cs="Times New Roman"/>
          <w:b w:val="0"/>
          <w:bCs w:val="0"/>
          <w:sz w:val="32"/>
          <w:szCs w:val="32"/>
        </w:rPr>
        <w:t>分）</w:t>
      </w:r>
    </w:p>
    <w:p w14:paraId="5AEA357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第一步：投标报价低于或等于</w:t>
      </w:r>
      <w:r>
        <w:rPr>
          <w:rFonts w:hint="eastAsia" w:ascii="Times New Roman" w:hAnsi="Times New Roman" w:eastAsia="仿宋_GB2312" w:cs="Times New Roman"/>
          <w:sz w:val="32"/>
          <w:szCs w:val="32"/>
          <w:lang w:val="en-US" w:eastAsia="zh-CN"/>
        </w:rPr>
        <w:t>询价</w:t>
      </w:r>
      <w:r>
        <w:rPr>
          <w:rFonts w:hint="default" w:ascii="Times New Roman" w:hAnsi="Times New Roman" w:eastAsia="仿宋_GB2312" w:cs="Times New Roman"/>
          <w:sz w:val="32"/>
          <w:szCs w:val="32"/>
        </w:rPr>
        <w:t>预算价格的，为有效投标报价。超预算的投标报价为无效投标报价。无效投标报价的投标文件不进行评审，也不得标。</w:t>
      </w:r>
    </w:p>
    <w:p w14:paraId="1C2FE6F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第二步：在所有有效投标报价中满足</w:t>
      </w:r>
      <w:r>
        <w:rPr>
          <w:rFonts w:hint="eastAsia" w:ascii="Times New Roman" w:hAnsi="Times New Roman" w:eastAsia="仿宋_GB2312" w:cs="Times New Roman"/>
          <w:sz w:val="32"/>
          <w:szCs w:val="32"/>
          <w:lang w:val="en-US" w:eastAsia="zh-CN"/>
        </w:rPr>
        <w:t>采购</w:t>
      </w:r>
      <w:r>
        <w:rPr>
          <w:rFonts w:hint="default" w:ascii="Times New Roman" w:hAnsi="Times New Roman" w:eastAsia="仿宋_GB2312" w:cs="Times New Roman"/>
          <w:sz w:val="32"/>
          <w:szCs w:val="32"/>
        </w:rPr>
        <w:t>文件要求，且投标价格最低的投标报价为评标基准价，其他投标人的价格分按照下列公式计算（计算结果四舍五入保留一位小数）。</w:t>
      </w:r>
    </w:p>
    <w:p w14:paraId="78B59A9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投标报价得分＝（评标基准价/投标报价）×</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×100</w:t>
      </w:r>
    </w:p>
    <w:p w14:paraId="5E21D57B">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jc w:val="left"/>
        <w:textAlignment w:val="auto"/>
        <w:rPr>
          <w:rFonts w:hint="default" w:ascii="Times New Roman" w:hAnsi="Times New Roman" w:eastAsia="楷体" w:cs="Times New Roman"/>
          <w:b w:val="0"/>
          <w:bCs w:val="0"/>
          <w:sz w:val="32"/>
          <w:szCs w:val="32"/>
        </w:rPr>
      </w:pPr>
      <w:r>
        <w:rPr>
          <w:rFonts w:hint="default" w:ascii="Times New Roman" w:hAnsi="Times New Roman" w:eastAsia="楷体" w:cs="Times New Roman"/>
          <w:b w:val="0"/>
          <w:bCs w:val="0"/>
          <w:sz w:val="32"/>
          <w:szCs w:val="32"/>
        </w:rPr>
        <w:t>（二）</w:t>
      </w:r>
      <w:r>
        <w:rPr>
          <w:rFonts w:hint="eastAsia" w:ascii="Times New Roman" w:hAnsi="Times New Roman" w:eastAsia="楷体" w:cs="Times New Roman"/>
          <w:b w:val="0"/>
          <w:bCs w:val="0"/>
          <w:sz w:val="32"/>
          <w:szCs w:val="32"/>
          <w:lang w:val="en-US" w:eastAsia="zh-CN"/>
        </w:rPr>
        <w:t>服务</w:t>
      </w:r>
      <w:r>
        <w:rPr>
          <w:rFonts w:hint="eastAsia" w:eastAsia="楷体" w:cs="Times New Roman"/>
          <w:b w:val="0"/>
          <w:bCs w:val="0"/>
          <w:sz w:val="32"/>
          <w:szCs w:val="32"/>
          <w:lang w:val="en-US" w:eastAsia="zh-CN"/>
        </w:rPr>
        <w:t>承诺</w:t>
      </w:r>
      <w:r>
        <w:rPr>
          <w:rFonts w:hint="default" w:ascii="Times New Roman" w:hAnsi="Times New Roman" w:eastAsia="楷体" w:cs="Times New Roman"/>
          <w:b w:val="0"/>
          <w:bCs w:val="0"/>
          <w:sz w:val="32"/>
          <w:szCs w:val="32"/>
        </w:rPr>
        <w:t>：（</w:t>
      </w:r>
      <w:r>
        <w:rPr>
          <w:rFonts w:hint="eastAsia" w:eastAsia="楷体" w:cs="Times New Roman"/>
          <w:b w:val="0"/>
          <w:bCs w:val="0"/>
          <w:sz w:val="32"/>
          <w:szCs w:val="32"/>
          <w:lang w:val="en-US" w:eastAsia="zh-CN"/>
        </w:rPr>
        <w:t>2</w:t>
      </w:r>
      <w:r>
        <w:rPr>
          <w:rFonts w:hint="default" w:ascii="Times New Roman" w:hAnsi="Times New Roman" w:eastAsia="楷体" w:cs="Times New Roman"/>
          <w:b w:val="0"/>
          <w:bCs w:val="0"/>
          <w:sz w:val="32"/>
          <w:szCs w:val="32"/>
          <w:lang w:val="en-US" w:eastAsia="zh-CN"/>
        </w:rPr>
        <w:t>0</w:t>
      </w:r>
      <w:r>
        <w:rPr>
          <w:rFonts w:hint="default" w:ascii="Times New Roman" w:hAnsi="Times New Roman" w:eastAsia="楷体" w:cs="Times New Roman"/>
          <w:b w:val="0"/>
          <w:bCs w:val="0"/>
          <w:sz w:val="32"/>
          <w:szCs w:val="32"/>
        </w:rPr>
        <w:t>分）</w:t>
      </w:r>
    </w:p>
    <w:p w14:paraId="2B706E4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根据各响应单位对本项目</w:t>
      </w:r>
      <w:r>
        <w:rPr>
          <w:rFonts w:hint="eastAsia" w:ascii="Times New Roman" w:hAnsi="Times New Roman" w:eastAsia="仿宋_GB2312" w:cs="Times New Roman"/>
          <w:sz w:val="32"/>
          <w:szCs w:val="32"/>
          <w:lang w:val="en-US" w:eastAsia="zh-CN"/>
        </w:rPr>
        <w:t>保质、保量完成的</w:t>
      </w:r>
      <w:r>
        <w:rPr>
          <w:rFonts w:hint="default" w:ascii="Times New Roman" w:hAnsi="Times New Roman" w:eastAsia="仿宋_GB2312" w:cs="Times New Roman"/>
          <w:sz w:val="32"/>
          <w:szCs w:val="32"/>
        </w:rPr>
        <w:t>服务承诺</w:t>
      </w:r>
      <w:r>
        <w:rPr>
          <w:rFonts w:hint="eastAsia" w:ascii="Times New Roman" w:hAnsi="Times New Roman" w:eastAsia="仿宋_GB2312" w:cs="Times New Roman"/>
          <w:sz w:val="32"/>
          <w:szCs w:val="32"/>
          <w:lang w:val="en-US" w:eastAsia="zh-CN"/>
        </w:rPr>
        <w:t>进行比较。</w:t>
      </w:r>
    </w:p>
    <w:p w14:paraId="6D60B40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优得</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分</w:t>
      </w:r>
      <w:r>
        <w:rPr>
          <w:rFonts w:hint="eastAsia" w:eastAsia="仿宋_GB2312" w:cs="Times New Roman"/>
          <w:sz w:val="32"/>
          <w:szCs w:val="32"/>
          <w:lang w:eastAsia="zh-CN"/>
        </w:rPr>
        <w:t>（</w:t>
      </w:r>
      <w:r>
        <w:rPr>
          <w:rFonts w:hint="eastAsia" w:eastAsia="仿宋_GB2312"/>
          <w:sz w:val="32"/>
          <w:szCs w:val="32"/>
        </w:rPr>
        <w:t>结合本项目需求提供具体可靠的服务承诺</w:t>
      </w:r>
      <w:r>
        <w:rPr>
          <w:rFonts w:hint="eastAsia" w:eastAsia="仿宋_GB2312"/>
          <w:sz w:val="32"/>
          <w:szCs w:val="32"/>
          <w:lang w:eastAsia="zh-CN"/>
        </w:rPr>
        <w:t>，</w:t>
      </w:r>
      <w:r>
        <w:rPr>
          <w:rFonts w:hint="eastAsia" w:eastAsia="仿宋_GB2312"/>
          <w:sz w:val="32"/>
          <w:szCs w:val="32"/>
        </w:rPr>
        <w:t>可行性强、完全满足采购需求的</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，良得</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分</w:t>
      </w:r>
      <w:r>
        <w:rPr>
          <w:rFonts w:hint="eastAsia" w:eastAsia="仿宋_GB2312" w:cs="Times New Roman"/>
          <w:sz w:val="32"/>
          <w:szCs w:val="32"/>
          <w:lang w:eastAsia="zh-CN"/>
        </w:rPr>
        <w:t>（</w:t>
      </w:r>
      <w:r>
        <w:rPr>
          <w:rFonts w:hint="eastAsia" w:eastAsia="仿宋_GB2312" w:cs="Times New Roman"/>
          <w:sz w:val="32"/>
          <w:szCs w:val="32"/>
          <w:lang w:val="en-US" w:eastAsia="zh-CN"/>
        </w:rPr>
        <w:t>服务</w:t>
      </w:r>
      <w:r>
        <w:rPr>
          <w:rFonts w:hint="eastAsia" w:eastAsia="仿宋_GB2312"/>
          <w:sz w:val="32"/>
          <w:szCs w:val="32"/>
        </w:rPr>
        <w:t>承诺可行性较强、比较符合采购需求的</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，一般得</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分</w:t>
      </w:r>
      <w:r>
        <w:rPr>
          <w:rFonts w:hint="eastAsia" w:eastAsia="仿宋_GB2312" w:cs="Times New Roman"/>
          <w:sz w:val="32"/>
          <w:szCs w:val="32"/>
          <w:lang w:eastAsia="zh-CN"/>
        </w:rPr>
        <w:t>（承诺</w:t>
      </w:r>
      <w:r>
        <w:rPr>
          <w:rFonts w:hint="eastAsia" w:eastAsia="仿宋_GB2312"/>
          <w:sz w:val="32"/>
          <w:szCs w:val="32"/>
        </w:rPr>
        <w:t>基本完整、可行性一般</w:t>
      </w:r>
      <w:r>
        <w:rPr>
          <w:rFonts w:hint="eastAsia" w:eastAsia="仿宋_GB2312"/>
          <w:sz w:val="32"/>
          <w:szCs w:val="32"/>
          <w:lang w:eastAsia="zh-CN"/>
        </w:rPr>
        <w:t>的</w:t>
      </w:r>
      <w:r>
        <w:rPr>
          <w:rFonts w:hint="eastAsia" w:eastAsia="仿宋_GB2312" w:cs="Times New Roman"/>
          <w:sz w:val="32"/>
          <w:szCs w:val="32"/>
          <w:lang w:eastAsia="zh-CN"/>
        </w:rPr>
        <w:t>）。</w:t>
      </w:r>
    </w:p>
    <w:p w14:paraId="4B2A5E79">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jc w:val="left"/>
        <w:textAlignment w:val="auto"/>
        <w:rPr>
          <w:rFonts w:hint="default" w:ascii="Times New Roman" w:hAnsi="Times New Roman" w:eastAsia="楷体" w:cs="Times New Roman"/>
          <w:b w:val="0"/>
          <w:bCs w:val="0"/>
          <w:sz w:val="32"/>
          <w:szCs w:val="32"/>
        </w:rPr>
      </w:pPr>
      <w:r>
        <w:rPr>
          <w:rFonts w:hint="default" w:ascii="Times New Roman" w:hAnsi="Times New Roman" w:eastAsia="楷体" w:cs="Times New Roman"/>
          <w:b w:val="0"/>
          <w:bCs w:val="0"/>
          <w:sz w:val="32"/>
          <w:szCs w:val="32"/>
        </w:rPr>
        <w:t>（</w:t>
      </w:r>
      <w:r>
        <w:rPr>
          <w:rFonts w:hint="eastAsia" w:ascii="Times New Roman" w:hAnsi="Times New Roman" w:eastAsia="楷体" w:cs="Times New Roman"/>
          <w:b w:val="0"/>
          <w:bCs w:val="0"/>
          <w:sz w:val="32"/>
          <w:szCs w:val="32"/>
          <w:lang w:val="en-US" w:eastAsia="zh-CN"/>
        </w:rPr>
        <w:t>三</w:t>
      </w:r>
      <w:r>
        <w:rPr>
          <w:rFonts w:hint="default" w:ascii="Times New Roman" w:hAnsi="Times New Roman" w:eastAsia="楷体" w:cs="Times New Roman"/>
          <w:b w:val="0"/>
          <w:bCs w:val="0"/>
          <w:sz w:val="32"/>
          <w:szCs w:val="32"/>
        </w:rPr>
        <w:t>）</w:t>
      </w:r>
      <w:r>
        <w:rPr>
          <w:rFonts w:hint="eastAsia" w:eastAsia="楷体" w:cs="Times New Roman"/>
          <w:b w:val="0"/>
          <w:bCs w:val="0"/>
          <w:sz w:val="32"/>
          <w:szCs w:val="32"/>
          <w:lang w:val="en-US" w:eastAsia="zh-CN"/>
        </w:rPr>
        <w:t>售后保障</w:t>
      </w:r>
      <w:r>
        <w:rPr>
          <w:rFonts w:hint="default" w:ascii="Times New Roman" w:hAnsi="Times New Roman" w:eastAsia="楷体" w:cs="Times New Roman"/>
          <w:b w:val="0"/>
          <w:bCs w:val="0"/>
          <w:sz w:val="32"/>
          <w:szCs w:val="32"/>
        </w:rPr>
        <w:t>：（</w:t>
      </w:r>
      <w:r>
        <w:rPr>
          <w:rFonts w:hint="eastAsia" w:eastAsia="楷体" w:cs="Times New Roman"/>
          <w:b w:val="0"/>
          <w:bCs w:val="0"/>
          <w:sz w:val="32"/>
          <w:szCs w:val="32"/>
          <w:lang w:val="en-US" w:eastAsia="zh-CN"/>
        </w:rPr>
        <w:t>30</w:t>
      </w:r>
      <w:r>
        <w:rPr>
          <w:rFonts w:hint="default" w:ascii="Times New Roman" w:hAnsi="Times New Roman" w:eastAsia="楷体" w:cs="Times New Roman"/>
          <w:b w:val="0"/>
          <w:bCs w:val="0"/>
          <w:sz w:val="32"/>
          <w:szCs w:val="32"/>
        </w:rPr>
        <w:t>分）</w:t>
      </w:r>
    </w:p>
    <w:p w14:paraId="1D35542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根据各响应单位</w:t>
      </w:r>
      <w:r>
        <w:rPr>
          <w:rFonts w:hint="eastAsia" w:ascii="Times New Roman" w:hAnsi="Times New Roman" w:eastAsia="仿宋_GB2312" w:cs="Times New Roman"/>
          <w:sz w:val="32"/>
          <w:szCs w:val="32"/>
          <w:lang w:val="en-US" w:eastAsia="zh-CN"/>
        </w:rPr>
        <w:t>提供的售后保障方案进行比较。</w:t>
      </w:r>
    </w:p>
    <w:p w14:paraId="08C5DBB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优得</w:t>
      </w:r>
      <w:r>
        <w:rPr>
          <w:rFonts w:hint="eastAsia" w:eastAsia="仿宋_GB2312" w:cs="Times New Roman"/>
          <w:sz w:val="32"/>
          <w:szCs w:val="32"/>
          <w:lang w:val="en-US" w:eastAsia="zh-CN"/>
        </w:rPr>
        <w:t>21</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30</w:t>
      </w:r>
      <w:r>
        <w:rPr>
          <w:rFonts w:hint="default" w:ascii="Times New Roman" w:hAnsi="Times New Roman" w:eastAsia="仿宋_GB2312" w:cs="Times New Roman"/>
          <w:sz w:val="32"/>
          <w:szCs w:val="32"/>
        </w:rPr>
        <w:t>分</w:t>
      </w:r>
      <w:r>
        <w:rPr>
          <w:rFonts w:hint="eastAsia" w:eastAsia="仿宋_GB2312" w:cs="Times New Roman"/>
          <w:sz w:val="32"/>
          <w:szCs w:val="32"/>
          <w:lang w:eastAsia="zh-CN"/>
        </w:rPr>
        <w:t>（</w:t>
      </w:r>
      <w:r>
        <w:rPr>
          <w:rFonts w:hint="eastAsia" w:eastAsia="仿宋_GB2312"/>
          <w:sz w:val="32"/>
          <w:szCs w:val="32"/>
        </w:rPr>
        <w:t>结合本项目需求提供具体可靠的</w:t>
      </w:r>
      <w:r>
        <w:rPr>
          <w:rFonts w:hint="eastAsia" w:eastAsia="仿宋_GB2312"/>
          <w:sz w:val="32"/>
          <w:szCs w:val="32"/>
          <w:lang w:eastAsia="zh-CN"/>
        </w:rPr>
        <w:t>售后</w:t>
      </w:r>
      <w:r>
        <w:rPr>
          <w:rFonts w:hint="eastAsia" w:eastAsia="仿宋_GB2312"/>
          <w:sz w:val="32"/>
          <w:szCs w:val="32"/>
          <w:lang w:val="en-US" w:eastAsia="zh-CN"/>
        </w:rPr>
        <w:t>保障</w:t>
      </w:r>
      <w:r>
        <w:rPr>
          <w:rFonts w:hint="eastAsia" w:eastAsia="仿宋_GB2312"/>
          <w:sz w:val="32"/>
          <w:szCs w:val="32"/>
          <w:lang w:eastAsia="zh-CN"/>
        </w:rPr>
        <w:t>方案</w:t>
      </w:r>
      <w:r>
        <w:rPr>
          <w:rFonts w:hint="eastAsia" w:eastAsia="仿宋_GB2312"/>
          <w:sz w:val="32"/>
          <w:szCs w:val="32"/>
        </w:rPr>
        <w:t>。</w:t>
      </w:r>
      <w:r>
        <w:rPr>
          <w:rFonts w:hint="eastAsia" w:eastAsia="仿宋_GB2312"/>
          <w:sz w:val="32"/>
          <w:szCs w:val="32"/>
          <w:lang w:val="en-US" w:eastAsia="zh-CN"/>
        </w:rPr>
        <w:t>售后保障完整全面、科学合理</w:t>
      </w:r>
      <w:r>
        <w:rPr>
          <w:rFonts w:hint="eastAsia" w:eastAsia="仿宋_GB2312"/>
          <w:sz w:val="32"/>
          <w:szCs w:val="32"/>
        </w:rPr>
        <w:t>、完全满足采购需求的</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，良得</w:t>
      </w:r>
      <w:r>
        <w:rPr>
          <w:rFonts w:hint="eastAsia" w:eastAsia="仿宋_GB2312" w:cs="Times New Roman"/>
          <w:sz w:val="32"/>
          <w:szCs w:val="32"/>
          <w:lang w:val="en-US" w:eastAsia="zh-CN"/>
        </w:rPr>
        <w:t>11</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分</w:t>
      </w:r>
      <w:r>
        <w:rPr>
          <w:rFonts w:hint="eastAsia" w:eastAsia="仿宋_GB2312" w:cs="Times New Roman"/>
          <w:sz w:val="32"/>
          <w:szCs w:val="32"/>
          <w:lang w:eastAsia="zh-CN"/>
        </w:rPr>
        <w:t>（</w:t>
      </w:r>
      <w:r>
        <w:rPr>
          <w:rFonts w:hint="eastAsia" w:eastAsia="仿宋_GB2312"/>
          <w:sz w:val="32"/>
          <w:szCs w:val="32"/>
          <w:lang w:val="en-US" w:eastAsia="zh-CN"/>
        </w:rPr>
        <w:t>售后保障</w:t>
      </w:r>
      <w:r>
        <w:rPr>
          <w:rFonts w:hint="eastAsia" w:eastAsia="仿宋_GB2312"/>
          <w:sz w:val="32"/>
          <w:szCs w:val="32"/>
        </w:rPr>
        <w:t>较为完整、可行性较强、比较符合采购需求的</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，一般得</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rPr>
        <w:t>分</w:t>
      </w:r>
      <w:r>
        <w:rPr>
          <w:rFonts w:hint="eastAsia" w:eastAsia="仿宋_GB2312" w:cs="Times New Roman"/>
          <w:sz w:val="32"/>
          <w:szCs w:val="32"/>
          <w:lang w:eastAsia="zh-CN"/>
        </w:rPr>
        <w:t>（</w:t>
      </w:r>
      <w:r>
        <w:rPr>
          <w:rFonts w:hint="eastAsia" w:eastAsia="仿宋_GB2312"/>
          <w:sz w:val="32"/>
          <w:szCs w:val="32"/>
          <w:lang w:val="en-US" w:eastAsia="zh-CN"/>
        </w:rPr>
        <w:t>售后保障</w:t>
      </w:r>
      <w:r>
        <w:rPr>
          <w:rFonts w:hint="eastAsia" w:eastAsia="仿宋_GB2312"/>
          <w:sz w:val="32"/>
          <w:szCs w:val="32"/>
        </w:rPr>
        <w:t>基本完整、科学性一般、可行性一般</w:t>
      </w:r>
      <w:r>
        <w:rPr>
          <w:rFonts w:hint="eastAsia" w:eastAsia="仿宋_GB2312"/>
          <w:sz w:val="32"/>
          <w:szCs w:val="32"/>
          <w:lang w:eastAsia="zh-CN"/>
        </w:rPr>
        <w:t>的</w:t>
      </w:r>
      <w:r>
        <w:rPr>
          <w:rFonts w:hint="eastAsia" w:eastAsia="仿宋_GB2312" w:cs="Times New Roman"/>
          <w:sz w:val="32"/>
          <w:szCs w:val="32"/>
          <w:lang w:eastAsia="zh-CN"/>
        </w:rPr>
        <w:t>）。</w:t>
      </w:r>
    </w:p>
    <w:p w14:paraId="74DEFC1B">
      <w:pPr>
        <w:spacing w:line="480" w:lineRule="exact"/>
        <w:ind w:firstLine="640" w:firstLineChars="200"/>
        <w:jc w:val="right"/>
        <w:rPr>
          <w:rFonts w:hint="eastAsia" w:ascii="仿宋" w:hAnsi="仿宋" w:eastAsia="仿宋" w:cs="仿宋"/>
          <w:sz w:val="32"/>
          <w:szCs w:val="32"/>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创艺简仿宋">
    <w:altName w:val="方正小标宋简体"/>
    <w:panose1 w:val="00000000000000000000"/>
    <w:charset w:val="86"/>
    <w:family w:val="auto"/>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新宋体-18030">
    <w:altName w:val="微软雅黑"/>
    <w:panose1 w:val="00000000000000000000"/>
    <w:charset w:val="86"/>
    <w:family w:val="auto"/>
    <w:pitch w:val="default"/>
    <w:sig w:usb0="00000000" w:usb1="00000000" w:usb2="0000001E" w:usb3="00000000" w:csb0="003C004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FEB73">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63FA57">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63FA57">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14:paraId="10718CAC">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ViZTM2ZDMwNDBhOGJjMjcwYTdjOWFjZWI0ODNlNTcifQ=="/>
  </w:docVars>
  <w:rsids>
    <w:rsidRoot w:val="00172A27"/>
    <w:rsid w:val="001C7F02"/>
    <w:rsid w:val="002158E5"/>
    <w:rsid w:val="00317DFE"/>
    <w:rsid w:val="004825D5"/>
    <w:rsid w:val="004D1A55"/>
    <w:rsid w:val="004E071B"/>
    <w:rsid w:val="00537EB1"/>
    <w:rsid w:val="006157A2"/>
    <w:rsid w:val="00704606"/>
    <w:rsid w:val="00765438"/>
    <w:rsid w:val="00767503"/>
    <w:rsid w:val="007A43D8"/>
    <w:rsid w:val="00857201"/>
    <w:rsid w:val="0094578A"/>
    <w:rsid w:val="0097324B"/>
    <w:rsid w:val="00A01F14"/>
    <w:rsid w:val="00A64155"/>
    <w:rsid w:val="00AB06BD"/>
    <w:rsid w:val="00B257D3"/>
    <w:rsid w:val="00C34D2C"/>
    <w:rsid w:val="00CB5A0E"/>
    <w:rsid w:val="00CB5CD2"/>
    <w:rsid w:val="00DE46ED"/>
    <w:rsid w:val="00E079F9"/>
    <w:rsid w:val="00E4510B"/>
    <w:rsid w:val="00FD0CA0"/>
    <w:rsid w:val="02C00A3B"/>
    <w:rsid w:val="039F0BD2"/>
    <w:rsid w:val="03AE2765"/>
    <w:rsid w:val="045A0F20"/>
    <w:rsid w:val="076156AF"/>
    <w:rsid w:val="0987119C"/>
    <w:rsid w:val="0C37175E"/>
    <w:rsid w:val="0CA96AF1"/>
    <w:rsid w:val="0D7A7223"/>
    <w:rsid w:val="0FAA78FA"/>
    <w:rsid w:val="15ED0D63"/>
    <w:rsid w:val="15EF3C21"/>
    <w:rsid w:val="16C81F40"/>
    <w:rsid w:val="19553227"/>
    <w:rsid w:val="1E0945D4"/>
    <w:rsid w:val="2185733E"/>
    <w:rsid w:val="22121F89"/>
    <w:rsid w:val="24565E64"/>
    <w:rsid w:val="25571598"/>
    <w:rsid w:val="258A1538"/>
    <w:rsid w:val="2A3F70FD"/>
    <w:rsid w:val="2CE3622E"/>
    <w:rsid w:val="2F564170"/>
    <w:rsid w:val="2FF13927"/>
    <w:rsid w:val="312D6024"/>
    <w:rsid w:val="33E365F1"/>
    <w:rsid w:val="37A72418"/>
    <w:rsid w:val="3B1F4274"/>
    <w:rsid w:val="3CE96F52"/>
    <w:rsid w:val="3CF87326"/>
    <w:rsid w:val="3ED63290"/>
    <w:rsid w:val="3EEBCB87"/>
    <w:rsid w:val="3F3518F6"/>
    <w:rsid w:val="3FFF9E23"/>
    <w:rsid w:val="483E10CE"/>
    <w:rsid w:val="486401D4"/>
    <w:rsid w:val="4C7F51E0"/>
    <w:rsid w:val="4EE07773"/>
    <w:rsid w:val="50E947A1"/>
    <w:rsid w:val="51316796"/>
    <w:rsid w:val="51B05909"/>
    <w:rsid w:val="57F3AB39"/>
    <w:rsid w:val="5BEE4761"/>
    <w:rsid w:val="5CAB4FE8"/>
    <w:rsid w:val="5DDE7679"/>
    <w:rsid w:val="5E7D4EB7"/>
    <w:rsid w:val="60BA79D7"/>
    <w:rsid w:val="6ED15F31"/>
    <w:rsid w:val="6FD94683"/>
    <w:rsid w:val="71F702EF"/>
    <w:rsid w:val="720B6F34"/>
    <w:rsid w:val="72306B38"/>
    <w:rsid w:val="73E17529"/>
    <w:rsid w:val="76EFC0C8"/>
    <w:rsid w:val="7796B0AC"/>
    <w:rsid w:val="799F9ED9"/>
    <w:rsid w:val="79DBDB42"/>
    <w:rsid w:val="7A6D6467"/>
    <w:rsid w:val="7ED71269"/>
    <w:rsid w:val="7FFABC97"/>
    <w:rsid w:val="97CF401C"/>
    <w:rsid w:val="9B7FF77A"/>
    <w:rsid w:val="BFDF53BE"/>
    <w:rsid w:val="E9F69562"/>
    <w:rsid w:val="EB5F5F90"/>
    <w:rsid w:val="EB8F2994"/>
    <w:rsid w:val="ED7DD61D"/>
    <w:rsid w:val="EFAFC010"/>
    <w:rsid w:val="F3F6228F"/>
    <w:rsid w:val="FF77F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qFormat/>
    <w:uiPriority w:val="0"/>
    <w:pPr>
      <w:spacing w:line="400" w:lineRule="exact"/>
    </w:pPr>
    <w:rPr>
      <w:rFonts w:ascii="楷体_GB2312"/>
      <w:kern w:val="0"/>
      <w:sz w:val="28"/>
    </w:rPr>
  </w:style>
  <w:style w:type="paragraph" w:styleId="5">
    <w:name w:val="Body Text Indent"/>
    <w:basedOn w:val="1"/>
    <w:unhideWhenUsed/>
    <w:qFormat/>
    <w:uiPriority w:val="99"/>
    <w:pPr>
      <w:spacing w:line="520" w:lineRule="exact"/>
      <w:ind w:left="570"/>
    </w:pPr>
    <w:rPr>
      <w:rFonts w:ascii="Arial Unicode MS" w:hAnsi="创艺简仿宋" w:eastAsia="Arial Unicode MS"/>
      <w:sz w:val="24"/>
      <w:szCs w:val="20"/>
    </w:rPr>
  </w:style>
  <w:style w:type="paragraph" w:styleId="6">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7"/>
    <w:qFormat/>
    <w:uiPriority w:val="99"/>
    <w:rPr>
      <w:sz w:val="18"/>
      <w:szCs w:val="18"/>
    </w:rPr>
  </w:style>
  <w:style w:type="character" w:customStyle="1" w:styleId="12">
    <w:name w:val="页脚 字符"/>
    <w:basedOn w:val="10"/>
    <w:link w:val="6"/>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2577</Words>
  <Characters>2956</Characters>
  <Lines>9</Lines>
  <Paragraphs>2</Paragraphs>
  <TotalTime>39</TotalTime>
  <ScaleCrop>false</ScaleCrop>
  <LinksUpToDate>false</LinksUpToDate>
  <CharactersWithSpaces>2994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2021-03-11T08:28:00Z</dcterms:created>
  <dc:creator>qiaoyu li</dc:creator>
  <cp:lastModifiedBy>芊芊</cp:lastModifiedBy>
  <cp:lastPrinted>2025-10-31T04:52:00Z</cp:lastPrinted>
  <dcterms:modified xsi:type="dcterms:W3CDTF">2025-10-31T05:18:37Z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FF3E30EAD9B24379B754CBC9E4F07768_13</vt:lpwstr>
  </property>
  <property fmtid="{D5CDD505-2E9C-101B-9397-08002B2CF9AE}" pid="4" name="KSOTemplateDocerSaveRecord">
    <vt:lpwstr>eyJoZGlkIjoiZjViZTM2ZDMwNDBhOGJjMjcwYTdjOWFjZWI0ODNlNTciLCJ1c2VySWQiOiIyOTc0MDcxMTUifQ==</vt:lpwstr>
  </property>
</Properties>
</file>