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799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城市绿化景观提升方案编制项目询价函</w:t>
      </w:r>
    </w:p>
    <w:p w14:paraId="48E265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p>
    <w:p w14:paraId="646C04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sz w:val="32"/>
          <w:szCs w:val="32"/>
        </w:rPr>
        <w:t>根据市政府</w:t>
      </w:r>
      <w:r>
        <w:rPr>
          <w:rFonts w:hint="eastAsia"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9月组织现场环古城河健身步道集中体检工作要求，为切实做好</w:t>
      </w:r>
      <w:r>
        <w:rPr>
          <w:rFonts w:hint="default" w:ascii="Times New Roman" w:hAnsi="Times New Roman" w:eastAsia="仿宋_GB2312" w:cs="Times New Roman"/>
          <w:sz w:val="32"/>
          <w:szCs w:val="32"/>
          <w:lang w:val="en-US" w:eastAsia="zh-CN"/>
        </w:rPr>
        <w:t>健身步道等</w:t>
      </w:r>
      <w:r>
        <w:rPr>
          <w:rFonts w:hint="default" w:ascii="Times New Roman" w:hAnsi="Times New Roman" w:eastAsia="仿宋_GB2312" w:cs="Times New Roman"/>
          <w:sz w:val="32"/>
          <w:szCs w:val="32"/>
        </w:rPr>
        <w:t>重点区域</w:t>
      </w:r>
      <w:r>
        <w:rPr>
          <w:rFonts w:hint="eastAsia" w:ascii="Times New Roman" w:hAnsi="Times New Roman" w:eastAsia="仿宋_GB2312" w:cs="Times New Roman"/>
          <w:sz w:val="32"/>
          <w:szCs w:val="32"/>
          <w:lang w:val="en-US" w:eastAsia="zh-CN"/>
        </w:rPr>
        <w:t>城市</w:t>
      </w:r>
      <w:r>
        <w:rPr>
          <w:rFonts w:hint="default" w:ascii="Times New Roman" w:hAnsi="Times New Roman" w:eastAsia="仿宋_GB2312" w:cs="Times New Roman"/>
          <w:sz w:val="32"/>
          <w:szCs w:val="32"/>
        </w:rPr>
        <w:t>绿化减量优化提升工作，打造疏朗通透、环境优美的绿化景观，</w:t>
      </w:r>
      <w:r>
        <w:rPr>
          <w:rFonts w:hint="eastAsia" w:ascii="Times New Roman" w:hAnsi="Times New Roman" w:eastAsia="仿宋_GB2312" w:cs="Times New Roman"/>
          <w:sz w:val="32"/>
          <w:szCs w:val="32"/>
          <w:lang w:val="en-US" w:eastAsia="zh-CN"/>
        </w:rPr>
        <w:t>拟邀请具有相关条件并有意向的优质技术服务单位参加重点区域城市绿化景观提升方案编制项目询价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现就有关事项</w:t>
      </w:r>
      <w:bookmarkStart w:id="1" w:name="_GoBack"/>
      <w:bookmarkEnd w:id="1"/>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要求</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如下：</w:t>
      </w:r>
    </w:p>
    <w:p w14:paraId="671E84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一、项目内容</w:t>
      </w:r>
    </w:p>
    <w:p w14:paraId="16667409">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楷体" w:hAnsi="楷体" w:eastAsia="楷体" w:cs="楷体"/>
          <w:color w:val="000000" w:themeColor="text1"/>
          <w:kern w:val="0"/>
          <w:sz w:val="32"/>
          <w:szCs w:val="32"/>
          <w:lang w:val="en-US" w:eastAsia="zh-CN"/>
          <w14:textFill>
            <w14:solidFill>
              <w14:schemeClr w14:val="tx1"/>
            </w14:solidFill>
          </w14:textFill>
        </w:rPr>
        <w:t>（一）总体要求。</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以提升景观品质与服务功能为导向，以绿化减量优化为重点，科学</w:t>
      </w:r>
      <w:r>
        <w:rPr>
          <w:rFonts w:hint="eastAsia" w:ascii="Times New Roman" w:hAnsi="Times New Roman" w:eastAsia="仿宋_GB2312" w:cs="Times New Roman"/>
          <w:sz w:val="32"/>
          <w:szCs w:val="32"/>
          <w:lang w:val="en-US" w:eastAsia="zh-CN"/>
        </w:rPr>
        <w:t>编制健身步道等重点区域城市绿化景观提升方案</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，要求路径清晰、重点突出、案例翔实，具有较强的针对性、指导性和可操作性</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p>
    <w:p w14:paraId="504E79B4">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楷体" w:hAnsi="楷体" w:eastAsia="楷体" w:cs="楷体"/>
          <w:color w:val="000000" w:themeColor="text1"/>
          <w:kern w:val="0"/>
          <w:sz w:val="32"/>
          <w:szCs w:val="32"/>
          <w:lang w:val="en-US" w:eastAsia="zh-CN"/>
          <w14:textFill>
            <w14:solidFill>
              <w14:schemeClr w14:val="tx1"/>
            </w14:solidFill>
          </w14:textFill>
        </w:rPr>
        <w:t>（二）内容要求。</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技术服务单位主要辅助</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对健身步道等重点区域城市绿化景观、功能、设施开展现状调查和问题分析，</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研究提出整体提升策略，</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梳理分类、图文并茂</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呈现设计效果。</w:t>
      </w:r>
    </w:p>
    <w:p w14:paraId="16C693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楷体" w:hAnsi="楷体" w:eastAsia="楷体" w:cs="楷体"/>
          <w:color w:val="000000" w:themeColor="text1"/>
          <w:kern w:val="0"/>
          <w:sz w:val="32"/>
          <w:szCs w:val="32"/>
          <w:lang w:val="en-US" w:eastAsia="zh-CN"/>
          <w14:textFill>
            <w14:solidFill>
              <w14:schemeClr w14:val="tx1"/>
            </w14:solidFill>
          </w14:textFill>
        </w:rPr>
        <w:t>（三）时间要求。</w:t>
      </w:r>
      <w:r>
        <w:rPr>
          <w:rFonts w:hint="default" w:ascii="Times New Roman" w:hAnsi="Times New Roman" w:eastAsia="仿宋" w:cs="Times New Roman"/>
          <w:sz w:val="32"/>
          <w:szCs w:val="32"/>
          <w:highlight w:val="none"/>
          <w:lang w:val="en-US" w:eastAsia="zh-CN"/>
        </w:rPr>
        <w:t>202</w:t>
      </w:r>
      <w:r>
        <w:rPr>
          <w:rFonts w:hint="eastAsia"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lang w:val="en-US" w:eastAsia="zh-CN"/>
        </w:rPr>
        <w:t>年</w:t>
      </w:r>
      <w:r>
        <w:rPr>
          <w:rFonts w:hint="eastAsia" w:ascii="Times New Roman" w:hAnsi="Times New Roman" w:eastAsia="仿宋" w:cs="Times New Roman"/>
          <w:sz w:val="32"/>
          <w:szCs w:val="32"/>
          <w:highlight w:val="none"/>
          <w:lang w:val="en-US" w:eastAsia="zh-CN"/>
        </w:rPr>
        <w:t>9</w:t>
      </w:r>
      <w:r>
        <w:rPr>
          <w:rFonts w:hint="default" w:ascii="Times New Roman" w:hAnsi="Times New Roman" w:eastAsia="仿宋" w:cs="Times New Roman"/>
          <w:sz w:val="32"/>
          <w:szCs w:val="32"/>
          <w:highlight w:val="none"/>
          <w:lang w:val="en-US" w:eastAsia="zh-CN"/>
        </w:rPr>
        <w:t>月</w:t>
      </w:r>
      <w:r>
        <w:rPr>
          <w:rFonts w:hint="eastAsia" w:ascii="Times New Roman" w:hAnsi="Times New Roman" w:eastAsia="仿宋" w:cs="Times New Roman"/>
          <w:sz w:val="32"/>
          <w:szCs w:val="32"/>
          <w:highlight w:val="none"/>
          <w:lang w:val="en-US" w:eastAsia="zh-CN"/>
        </w:rPr>
        <w:t>底前完成相关方案编制</w:t>
      </w:r>
      <w:r>
        <w:rPr>
          <w:rFonts w:hint="default" w:ascii="Times New Roman" w:hAnsi="Times New Roman" w:eastAsia="仿宋" w:cs="Times New Roman"/>
          <w:sz w:val="32"/>
          <w:szCs w:val="32"/>
          <w:highlight w:val="none"/>
          <w:lang w:val="en-US" w:eastAsia="zh-CN"/>
        </w:rPr>
        <w:t>。</w:t>
      </w:r>
    </w:p>
    <w:p w14:paraId="75D3714D">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楷体" w:hAnsi="楷体" w:eastAsia="楷体" w:cs="楷体"/>
          <w:color w:val="000000" w:themeColor="text1"/>
          <w:kern w:val="0"/>
          <w:sz w:val="32"/>
          <w:szCs w:val="32"/>
          <w:lang w:val="en-US" w:eastAsia="zh-CN"/>
          <w14:textFill>
            <w14:solidFill>
              <w14:schemeClr w14:val="tx1"/>
            </w14:solidFill>
          </w14:textFill>
        </w:rPr>
        <w:t>（</w:t>
      </w:r>
      <w:r>
        <w:rPr>
          <w:rFonts w:hint="eastAsia" w:ascii="楷体" w:hAnsi="楷体" w:eastAsia="楷体" w:cs="楷体"/>
          <w:color w:val="000000" w:themeColor="text1"/>
          <w:kern w:val="0"/>
          <w:sz w:val="32"/>
          <w:szCs w:val="32"/>
          <w:lang w:val="en-US" w:eastAsia="zh-CN"/>
          <w14:textFill>
            <w14:solidFill>
              <w14:schemeClr w14:val="tx1"/>
            </w14:solidFill>
          </w14:textFill>
        </w:rPr>
        <w:t>四</w:t>
      </w:r>
      <w:r>
        <w:rPr>
          <w:rFonts w:hint="default" w:ascii="楷体" w:hAnsi="楷体" w:eastAsia="楷体" w:cs="楷体"/>
          <w:color w:val="000000" w:themeColor="text1"/>
          <w:kern w:val="0"/>
          <w:sz w:val="32"/>
          <w:szCs w:val="32"/>
          <w:lang w:val="en-US" w:eastAsia="zh-CN"/>
          <w14:textFill>
            <w14:solidFill>
              <w14:schemeClr w14:val="tx1"/>
            </w14:solidFill>
          </w14:textFill>
        </w:rPr>
        <w:t>）成果要求。</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1.提交</w:t>
      </w:r>
      <w:r>
        <w:rPr>
          <w:rFonts w:hint="eastAsia" w:ascii="Times New Roman" w:hAnsi="Times New Roman" w:eastAsia="仿宋_GB2312" w:cs="Times New Roman"/>
          <w:sz w:val="32"/>
          <w:szCs w:val="32"/>
          <w:lang w:val="en-US" w:eastAsia="zh-CN"/>
        </w:rPr>
        <w:t>重点区域城市绿化景观提升方案</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文本</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。2.提交全文电子稿以及开展本项目过程中的调查研究、拍摄照片等素材。</w:t>
      </w:r>
    </w:p>
    <w:p w14:paraId="3E4D8D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二、采购预算</w:t>
      </w:r>
    </w:p>
    <w:p w14:paraId="2F50D8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本项目采购最高限价不超过</w:t>
      </w:r>
      <w:r>
        <w:rPr>
          <w:rFonts w:hint="eastAsia" w:ascii="Times New Roman" w:hAnsi="Times New Roman" w:eastAsia="仿宋" w:cs="Times New Roman"/>
          <w:color w:val="000000" w:themeColor="text1"/>
          <w:sz w:val="32"/>
          <w:szCs w:val="32"/>
          <w:highlight w:val="none"/>
          <w:lang w:val="en-US" w:eastAsia="zh-CN"/>
          <w14:textFill>
            <w14:solidFill>
              <w14:schemeClr w14:val="tx1"/>
            </w14:solidFill>
          </w14:textFill>
        </w:rPr>
        <w:t>9.5</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万元。</w:t>
      </w:r>
    </w:p>
    <w:p w14:paraId="5C754B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default" w:ascii="黑体" w:hAnsi="黑体" w:eastAsia="黑体" w:cs="黑体"/>
          <w:color w:val="000000" w:themeColor="text1"/>
          <w:sz w:val="32"/>
          <w:szCs w:val="32"/>
          <w14:textFill>
            <w14:solidFill>
              <w14:schemeClr w14:val="tx1"/>
            </w14:solidFill>
          </w14:textFill>
        </w:rPr>
        <w:t>、技术服务单位</w:t>
      </w:r>
      <w:r>
        <w:rPr>
          <w:rFonts w:hint="eastAsia" w:ascii="黑体" w:hAnsi="黑体" w:eastAsia="黑体" w:cs="黑体"/>
          <w:color w:val="000000" w:themeColor="text1"/>
          <w:sz w:val="32"/>
          <w:szCs w:val="32"/>
          <w:lang w:val="en-US" w:eastAsia="zh-CN"/>
          <w14:textFill>
            <w14:solidFill>
              <w14:schemeClr w14:val="tx1"/>
            </w14:solidFill>
          </w14:textFill>
        </w:rPr>
        <w:t>条件</w:t>
      </w:r>
    </w:p>
    <w:p w14:paraId="067C41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具有独立承担民事责任的能力；</w:t>
      </w:r>
    </w:p>
    <w:p w14:paraId="52C5FA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具有良好的商业信誉和健全的财务会计制度；</w:t>
      </w:r>
    </w:p>
    <w:p w14:paraId="04437C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具有履行合同所必需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设备和专业技术</w:t>
      </w:r>
      <w:r>
        <w:rPr>
          <w:rFonts w:hint="default" w:ascii="Times New Roman" w:hAnsi="Times New Roman" w:eastAsia="仿宋_GB2312" w:cs="Times New Roman"/>
          <w:color w:val="000000" w:themeColor="text1"/>
          <w:sz w:val="32"/>
          <w:szCs w:val="32"/>
          <w14:textFill>
            <w14:solidFill>
              <w14:schemeClr w14:val="tx1"/>
            </w14:solidFill>
          </w14:textFill>
        </w:rPr>
        <w:t>能力；</w:t>
      </w:r>
    </w:p>
    <w:p w14:paraId="20282D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有依法缴纳税收和社会保障资金的良好记录；</w:t>
      </w:r>
    </w:p>
    <w:p w14:paraId="2CCC9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参加采购活动前三年内，在经营活动中没有重大违法记录；</w:t>
      </w:r>
    </w:p>
    <w:p w14:paraId="4A39BF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.本项目不接受联合体投标</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w:t>
      </w:r>
    </w:p>
    <w:p w14:paraId="51D1C8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.法律法规</w:t>
      </w:r>
      <w:r>
        <w:rPr>
          <w:rFonts w:hint="default" w:ascii="Times New Roman" w:hAnsi="Times New Roman" w:eastAsia="仿宋_GB2312" w:cs="Times New Roman"/>
          <w:color w:val="000000" w:themeColor="text1"/>
          <w:sz w:val="32"/>
          <w:szCs w:val="32"/>
          <w14:textFill>
            <w14:solidFill>
              <w14:schemeClr w14:val="tx1"/>
            </w14:solidFill>
          </w14:textFill>
        </w:rPr>
        <w:t>规定的其他条件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EE4F8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textAlignment w:val="auto"/>
        <w:rPr>
          <w:rFonts w:hint="default" w:ascii="黑体" w:hAnsi="黑体" w:eastAsia="黑体" w:cs="黑体"/>
          <w:color w:val="000000" w:themeColor="text1"/>
          <w:sz w:val="32"/>
          <w:szCs w:val="32"/>
          <w14:textFill>
            <w14:solidFill>
              <w14:schemeClr w14:val="tx1"/>
            </w14:solidFill>
          </w14:textFill>
        </w:rPr>
      </w:pPr>
      <w:r>
        <w:rPr>
          <w:rFonts w:hint="default" w:ascii="黑体" w:hAnsi="黑体" w:eastAsia="黑体" w:cs="黑体"/>
          <w:color w:val="000000" w:themeColor="text1"/>
          <w:sz w:val="32"/>
          <w:szCs w:val="32"/>
          <w14:textFill>
            <w14:solidFill>
              <w14:schemeClr w14:val="tx1"/>
            </w14:solidFill>
          </w14:textFill>
        </w:rPr>
        <w:t>四、材料要求</w:t>
      </w:r>
    </w:p>
    <w:p w14:paraId="354B41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1.单位营业执照或组织机构代码证复印件；</w:t>
      </w:r>
    </w:p>
    <w:p w14:paraId="47557A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2.单位法定代表人（或负责人）身份证复印件；</w:t>
      </w:r>
    </w:p>
    <w:p w14:paraId="016760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3.一次性书面报价，报价单需加盖单位公章；</w:t>
      </w:r>
    </w:p>
    <w:p w14:paraId="25B32A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4.承诺书及相关资格证明材料；</w:t>
      </w:r>
    </w:p>
    <w:p w14:paraId="354979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5.服务本项目团队成员信息；</w:t>
      </w:r>
    </w:p>
    <w:p w14:paraId="190EC748">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6.近年来单位从事相关工作证明材料。</w:t>
      </w:r>
    </w:p>
    <w:p w14:paraId="12D26A73">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以上所有报名资料提供复印件，均需加盖公章。回函请一式三份装订成册、密封。密封袋封口处必须加盖公章并在密封袋正面标明项目名称、单位名称、地址和联系方式。</w:t>
      </w:r>
    </w:p>
    <w:p w14:paraId="73EC1C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textAlignment w:val="auto"/>
        <w:rPr>
          <w:rFonts w:hint="default"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五</w:t>
      </w:r>
      <w:r>
        <w:rPr>
          <w:rFonts w:hint="default" w:ascii="黑体" w:hAnsi="黑体" w:eastAsia="黑体" w:cs="黑体"/>
          <w:color w:val="000000" w:themeColor="text1"/>
          <w:sz w:val="32"/>
          <w:szCs w:val="32"/>
          <w14:textFill>
            <w14:solidFill>
              <w14:schemeClr w14:val="tx1"/>
            </w14:solidFill>
          </w14:textFill>
        </w:rPr>
        <w:t>、评标标准</w:t>
      </w:r>
    </w:p>
    <w:p w14:paraId="52C45F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w:t>
      </w:r>
      <w:bookmarkStart w:id="0" w:name="OLE_LINK3"/>
      <w:r>
        <w:rPr>
          <w:rFonts w:hint="default" w:ascii="Times New Roman" w:hAnsi="Times New Roman" w:eastAsia="仿宋_GB2312" w:cs="Times New Roman"/>
          <w:kern w:val="0"/>
          <w:sz w:val="32"/>
          <w:szCs w:val="32"/>
          <w:lang w:val="en-US" w:eastAsia="zh-CN"/>
        </w:rPr>
        <w:t>各响应单位应综合考量项目服务内容与成本，在预算范围内提供优质服务，恶意低价竞标的，将被视为废标。</w:t>
      </w:r>
    </w:p>
    <w:p w14:paraId="262F51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2.在符合或高于询价采购文件各项要求的情况下，采购方考虑服务价格、服务技术、服务经验等综合因素择优选择技术服务单位。</w:t>
      </w:r>
    </w:p>
    <w:bookmarkEnd w:id="0"/>
    <w:p w14:paraId="4121FF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3.响应单位报价和承诺一经认可，即为成交的合同价。如对本询价函报价，即不可撤回。</w:t>
      </w:r>
    </w:p>
    <w:p w14:paraId="1ABE70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textAlignment w:val="auto"/>
        <w:rPr>
          <w:rFonts w:hint="default"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w:t>
      </w:r>
      <w:r>
        <w:rPr>
          <w:rFonts w:hint="default" w:ascii="黑体" w:hAnsi="黑体" w:eastAsia="黑体" w:cs="黑体"/>
          <w:color w:val="000000" w:themeColor="text1"/>
          <w:sz w:val="32"/>
          <w:szCs w:val="32"/>
          <w14:textFill>
            <w14:solidFill>
              <w14:schemeClr w14:val="tx1"/>
            </w14:solidFill>
          </w14:textFill>
        </w:rPr>
        <w:t>、材料接收与截止时间</w:t>
      </w:r>
    </w:p>
    <w:p w14:paraId="7BA7EA5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.报价材料邮寄</w:t>
      </w:r>
      <w:r>
        <w:rPr>
          <w:rFonts w:hint="default" w:ascii="Times New Roman" w:hAnsi="Times New Roman" w:eastAsia="仿宋_GB2312" w:cs="Times New Roman"/>
          <w:sz w:val="32"/>
          <w:szCs w:val="32"/>
          <w:lang w:val="en-US" w:eastAsia="zh-CN"/>
        </w:rPr>
        <w:t>或送</w:t>
      </w:r>
      <w:r>
        <w:rPr>
          <w:rFonts w:hint="default" w:ascii="Times New Roman" w:hAnsi="Times New Roman" w:eastAsia="仿宋_GB2312" w:cs="Times New Roman"/>
          <w:sz w:val="32"/>
          <w:szCs w:val="32"/>
        </w:rPr>
        <w:t>至：苏州市园林和绿化管理局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苏州市公园路255号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毕雷雷</w:t>
      </w:r>
      <w:r>
        <w:rPr>
          <w:rFonts w:hint="default" w:ascii="Times New Roman" w:hAnsi="Times New Roman" w:eastAsia="仿宋_GB2312" w:cs="Times New Roman"/>
          <w:sz w:val="32"/>
          <w:szCs w:val="32"/>
        </w:rPr>
        <w:t>，电话：</w:t>
      </w:r>
      <w:r>
        <w:rPr>
          <w:rFonts w:hint="eastAsia" w:ascii="Times New Roman" w:hAnsi="Times New Roman" w:eastAsia="仿宋_GB2312" w:cs="Times New Roman"/>
          <w:sz w:val="32"/>
          <w:szCs w:val="32"/>
          <w:lang w:val="en-US" w:eastAsia="zh-CN"/>
        </w:rPr>
        <w:t>13771836367</w:t>
      </w:r>
      <w:r>
        <w:rPr>
          <w:rFonts w:hint="default" w:ascii="Times New Roman" w:hAnsi="Times New Roman" w:eastAsia="仿宋_GB2312" w:cs="Times New Roman"/>
          <w:sz w:val="32"/>
          <w:szCs w:val="32"/>
        </w:rPr>
        <w:t>。</w:t>
      </w:r>
    </w:p>
    <w:p w14:paraId="55119B6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highlight w:val="none"/>
          <w:lang w:val="en-US" w:eastAsia="zh-CN"/>
        </w:rPr>
        <w:t>询价时间：2025年</w:t>
      </w:r>
      <w:r>
        <w:rPr>
          <w:rFonts w:hint="eastAsia"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lang w:val="en-US" w:eastAsia="zh-CN"/>
        </w:rPr>
        <w:t>月</w:t>
      </w:r>
      <w:r>
        <w:rPr>
          <w:rFonts w:hint="eastAsia" w:ascii="Times New Roman" w:hAnsi="Times New Roman" w:eastAsia="仿宋_GB2312" w:cs="Times New Roman"/>
          <w:sz w:val="32"/>
          <w:szCs w:val="32"/>
          <w:highlight w:val="none"/>
          <w:lang w:val="en-US" w:eastAsia="zh-CN"/>
        </w:rPr>
        <w:t>18</w:t>
      </w:r>
      <w:r>
        <w:rPr>
          <w:rFonts w:hint="default" w:ascii="Times New Roman" w:hAnsi="Times New Roman" w:eastAsia="仿宋_GB2312" w:cs="Times New Roman"/>
          <w:sz w:val="32"/>
          <w:szCs w:val="32"/>
          <w:highlight w:val="none"/>
          <w:lang w:val="en-US" w:eastAsia="zh-CN"/>
        </w:rPr>
        <w:t>日</w:t>
      </w:r>
      <w:r>
        <w:rPr>
          <w:rFonts w:hint="eastAsia" w:ascii="Times New Roman" w:hAnsi="Times New Roman" w:eastAsia="仿宋_GB2312" w:cs="Times New Roman"/>
          <w:sz w:val="32"/>
          <w:szCs w:val="32"/>
          <w:highlight w:val="none"/>
          <w:lang w:val="en-US" w:eastAsia="zh-CN"/>
        </w:rPr>
        <w:t>—11月24</w:t>
      </w:r>
      <w:r>
        <w:rPr>
          <w:rFonts w:hint="default" w:ascii="Times New Roman" w:hAnsi="Times New Roman" w:eastAsia="仿宋_GB2312" w:cs="Times New Roman"/>
          <w:sz w:val="32"/>
          <w:szCs w:val="32"/>
          <w:highlight w:val="none"/>
          <w:lang w:val="en-US" w:eastAsia="zh-CN"/>
        </w:rPr>
        <w:t>日。</w:t>
      </w:r>
      <w:r>
        <w:rPr>
          <w:rFonts w:hint="default" w:ascii="Times New Roman" w:hAnsi="Times New Roman" w:eastAsia="仿宋_GB2312" w:cs="Times New Roman"/>
          <w:sz w:val="32"/>
          <w:szCs w:val="32"/>
          <w:lang w:val="en-US" w:eastAsia="zh-CN"/>
        </w:rPr>
        <w:t>投标人应于2025年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lang w:val="en-US" w:eastAsia="zh-CN"/>
        </w:rPr>
        <w:t>日17:00前将</w:t>
      </w:r>
      <w:r>
        <w:rPr>
          <w:rFonts w:hint="eastAsia" w:ascii="Times New Roman" w:hAnsi="Times New Roman" w:eastAsia="仿宋_GB2312" w:cs="Times New Roman"/>
          <w:sz w:val="32"/>
          <w:szCs w:val="32"/>
          <w:lang w:val="en-US" w:eastAsia="zh-CN"/>
        </w:rPr>
        <w:t>响应材料</w:t>
      </w:r>
      <w:r>
        <w:rPr>
          <w:rFonts w:hint="default" w:ascii="Times New Roman" w:hAnsi="Times New Roman" w:eastAsia="仿宋_GB2312" w:cs="Times New Roman"/>
          <w:sz w:val="32"/>
          <w:szCs w:val="32"/>
          <w:lang w:val="en-US" w:eastAsia="zh-CN"/>
        </w:rPr>
        <w:t>密封寄（送）达，逾期送达将予以拒收。</w:t>
      </w:r>
    </w:p>
    <w:p w14:paraId="48F5C839">
      <w:pPr>
        <w:keepNext w:val="0"/>
        <w:keepLines w:val="0"/>
        <w:pageBreakBefore w:val="0"/>
        <w:widowControl w:val="0"/>
        <w:kinsoku/>
        <w:wordWrap/>
        <w:overflowPunct/>
        <w:topLinePunct w:val="0"/>
        <w:autoSpaceDE/>
        <w:autoSpaceDN/>
        <w:bidi w:val="0"/>
        <w:adjustRightInd/>
        <w:snapToGrid/>
        <w:spacing w:line="560" w:lineRule="exact"/>
        <w:ind w:right="0"/>
        <w:jc w:val="right"/>
        <w:textAlignment w:val="auto"/>
        <w:rPr>
          <w:rFonts w:hint="default" w:ascii="Times New Roman" w:hAnsi="Times New Roman" w:eastAsia="仿宋_GB2312" w:cs="Times New Roman"/>
          <w:i w:val="0"/>
          <w:iCs w:val="0"/>
          <w:caps w:val="0"/>
          <w:color w:val="000000" w:themeColor="text1"/>
          <w:spacing w:val="0"/>
          <w:sz w:val="32"/>
          <w:szCs w:val="32"/>
          <w14:textFill>
            <w14:solidFill>
              <w14:schemeClr w14:val="tx1"/>
            </w14:solidFill>
          </w14:textFill>
        </w:rPr>
      </w:pPr>
    </w:p>
    <w:p w14:paraId="1A4EE682">
      <w:pPr>
        <w:keepNext w:val="0"/>
        <w:keepLines w:val="0"/>
        <w:pageBreakBefore w:val="0"/>
        <w:widowControl w:val="0"/>
        <w:kinsoku/>
        <w:wordWrap/>
        <w:overflowPunct/>
        <w:topLinePunct w:val="0"/>
        <w:autoSpaceDE/>
        <w:autoSpaceDN/>
        <w:bidi w:val="0"/>
        <w:adjustRightInd/>
        <w:snapToGrid/>
        <w:spacing w:line="560" w:lineRule="exact"/>
        <w:ind w:right="0"/>
        <w:jc w:val="right"/>
        <w:textAlignment w:val="auto"/>
        <w:rPr>
          <w:rFonts w:hint="default" w:ascii="Times New Roman" w:hAnsi="Times New Roman" w:eastAsia="仿宋_GB2312" w:cs="Times New Roman"/>
          <w:i w:val="0"/>
          <w:iCs w:val="0"/>
          <w:caps w:val="0"/>
          <w:color w:val="000000" w:themeColor="text1"/>
          <w:spacing w:val="0"/>
          <w:sz w:val="32"/>
          <w:szCs w:val="32"/>
          <w14:textFill>
            <w14:solidFill>
              <w14:schemeClr w14:val="tx1"/>
            </w14:solidFill>
          </w14:textFill>
        </w:rPr>
      </w:pPr>
    </w:p>
    <w:p w14:paraId="14A5A4CC">
      <w:pPr>
        <w:keepNext w:val="0"/>
        <w:keepLines w:val="0"/>
        <w:pageBreakBefore w:val="0"/>
        <w:widowControl w:val="0"/>
        <w:kinsoku/>
        <w:wordWrap/>
        <w:overflowPunct/>
        <w:topLinePunct w:val="0"/>
        <w:autoSpaceDE/>
        <w:autoSpaceDN/>
        <w:bidi w:val="0"/>
        <w:adjustRightInd/>
        <w:snapToGrid/>
        <w:spacing w:line="560" w:lineRule="exact"/>
        <w:ind w:right="0"/>
        <w:jc w:val="right"/>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iCs w:val="0"/>
          <w:caps w:val="0"/>
          <w:color w:val="000000" w:themeColor="text1"/>
          <w:spacing w:val="0"/>
          <w:sz w:val="32"/>
          <w:szCs w:val="32"/>
          <w14:textFill>
            <w14:solidFill>
              <w14:schemeClr w14:val="tx1"/>
            </w14:solidFill>
          </w14:textFill>
        </w:rPr>
        <w:t>                      </w:t>
      </w:r>
      <w:r>
        <w:rPr>
          <w:rFonts w:hint="default" w:ascii="Times New Roman" w:hAnsi="Times New Roman" w:eastAsia="仿宋_GB2312" w:cs="Times New Roman"/>
          <w:color w:val="000000" w:themeColor="text1"/>
          <w:sz w:val="32"/>
          <w:szCs w:val="32"/>
          <w14:textFill>
            <w14:solidFill>
              <w14:schemeClr w14:val="tx1"/>
            </w14:solidFill>
          </w14:textFill>
        </w:rPr>
        <w:t>  苏州市园林和绿化管理局</w:t>
      </w:r>
    </w:p>
    <w:p w14:paraId="0FCE6F73">
      <w:pPr>
        <w:keepNext w:val="0"/>
        <w:keepLines w:val="0"/>
        <w:pageBreakBefore w:val="0"/>
        <w:widowControl w:val="0"/>
        <w:kinsoku/>
        <w:wordWrap/>
        <w:overflowPunct/>
        <w:topLinePunct w:val="0"/>
        <w:autoSpaceDE/>
        <w:autoSpaceDN/>
        <w:bidi w:val="0"/>
        <w:adjustRightInd/>
        <w:snapToGrid/>
        <w:spacing w:line="560" w:lineRule="exact"/>
        <w:ind w:right="0"/>
        <w:jc w:val="right"/>
        <w:textAlignment w:val="auto"/>
        <w:rPr>
          <w:rFonts w:hint="default" w:ascii="Times New Roman" w:hAnsi="Times New Roman" w:eastAsia="仿宋_GB2312"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18</w:t>
      </w:r>
      <w:r>
        <w:rPr>
          <w:rFonts w:hint="default" w:ascii="Times New Roman" w:hAnsi="Times New Roman" w:eastAsia="仿宋_GB2312" w:cs="Times New Roman"/>
          <w:color w:val="000000" w:themeColor="text1"/>
          <w:sz w:val="32"/>
          <w:szCs w:val="32"/>
          <w14:textFill>
            <w14:solidFill>
              <w14:schemeClr w14:val="tx1"/>
            </w14:solidFill>
          </w14:textFill>
        </w:rPr>
        <w:t>日 </w:t>
      </w:r>
      <w:r>
        <w:rPr>
          <w:rFonts w:hint="default" w:ascii="Times New Roman" w:hAnsi="Times New Roman" w:eastAsia="仿宋_GB2312" w:cs="Times New Roman"/>
          <w:i w:val="0"/>
          <w:iCs w:val="0"/>
          <w:caps w:val="0"/>
          <w:color w:val="000000" w:themeColor="text1"/>
          <w:spacing w:val="0"/>
          <w:sz w:val="32"/>
          <w:szCs w:val="32"/>
          <w14:textFill>
            <w14:solidFill>
              <w14:schemeClr w14:val="tx1"/>
            </w14:solidFill>
          </w14:textFill>
        </w:rPr>
        <w:t>  </w:t>
      </w:r>
    </w:p>
    <w:p w14:paraId="36C42819">
      <w:pPr>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default" w:ascii="Times New Roman" w:hAnsi="Times New Roman" w:eastAsia="仿宋_GB2312" w:cs="Times New Roman"/>
          <w:i w:val="0"/>
          <w:iCs w:val="0"/>
          <w:caps w:val="0"/>
          <w:color w:val="000000" w:themeColor="text1"/>
          <w:spacing w:val="0"/>
          <w:sz w:val="32"/>
          <w:szCs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BEFF02-0E02-4642-8E50-479A5B67C9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84A0B769-EECC-4935-B5A4-06D508181CC5}"/>
  </w:font>
  <w:font w:name="仿宋_GB2312">
    <w:panose1 w:val="02010609030101010101"/>
    <w:charset w:val="86"/>
    <w:family w:val="modern"/>
    <w:pitch w:val="default"/>
    <w:sig w:usb0="00000001" w:usb1="080E0000" w:usb2="00000000" w:usb3="00000000" w:csb0="00040000" w:csb1="00000000"/>
    <w:embedRegular r:id="rId3" w:fontKey="{B1824257-4294-49D2-AA5E-E4D6CE32300D}"/>
  </w:font>
  <w:font w:name="楷体">
    <w:panose1 w:val="02010609060101010101"/>
    <w:charset w:val="86"/>
    <w:family w:val="auto"/>
    <w:pitch w:val="default"/>
    <w:sig w:usb0="800002BF" w:usb1="38CF7CFA" w:usb2="00000016" w:usb3="00000000" w:csb0="00040001" w:csb1="00000000"/>
    <w:embedRegular r:id="rId4" w:fontKey="{4FD2D3A0-B536-42F2-ACE1-044D2D26BABE}"/>
  </w:font>
  <w:font w:name="仿宋">
    <w:panose1 w:val="02010609060101010101"/>
    <w:charset w:val="86"/>
    <w:family w:val="modern"/>
    <w:pitch w:val="default"/>
    <w:sig w:usb0="800002BF" w:usb1="38CF7CFA" w:usb2="00000016" w:usb3="00000000" w:csb0="00040001" w:csb1="00000000"/>
    <w:embedRegular r:id="rId5" w:fontKey="{9569711C-4FD9-4BC6-89A9-A9EE6121A3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00693"/>
    <w:rsid w:val="119500A0"/>
    <w:rsid w:val="157D0351"/>
    <w:rsid w:val="1DF60F39"/>
    <w:rsid w:val="1FC31A9B"/>
    <w:rsid w:val="251B2213"/>
    <w:rsid w:val="273D46C2"/>
    <w:rsid w:val="27C8457A"/>
    <w:rsid w:val="28575C58"/>
    <w:rsid w:val="28F74D45"/>
    <w:rsid w:val="2D452A38"/>
    <w:rsid w:val="2D6D2983"/>
    <w:rsid w:val="2E5073D1"/>
    <w:rsid w:val="31852CE7"/>
    <w:rsid w:val="33CD5020"/>
    <w:rsid w:val="33ED56C2"/>
    <w:rsid w:val="3B392F9B"/>
    <w:rsid w:val="3DF608B9"/>
    <w:rsid w:val="3F475AC7"/>
    <w:rsid w:val="43A55671"/>
    <w:rsid w:val="43E572CD"/>
    <w:rsid w:val="444A7FC7"/>
    <w:rsid w:val="44B35B3A"/>
    <w:rsid w:val="4CEE2FC2"/>
    <w:rsid w:val="4D045381"/>
    <w:rsid w:val="50DB6C6E"/>
    <w:rsid w:val="523A78CD"/>
    <w:rsid w:val="577F3225"/>
    <w:rsid w:val="588418A2"/>
    <w:rsid w:val="58A65CBC"/>
    <w:rsid w:val="5F8024C7"/>
    <w:rsid w:val="60096666"/>
    <w:rsid w:val="611B6B1B"/>
    <w:rsid w:val="61482A17"/>
    <w:rsid w:val="68996CA3"/>
    <w:rsid w:val="6B256F14"/>
    <w:rsid w:val="6BA6369A"/>
    <w:rsid w:val="6D7B72BF"/>
    <w:rsid w:val="713C0B14"/>
    <w:rsid w:val="7202076A"/>
    <w:rsid w:val="72B910F5"/>
    <w:rsid w:val="756E3266"/>
    <w:rsid w:val="76740D50"/>
    <w:rsid w:val="7BA76B31"/>
    <w:rsid w:val="7BDD3858"/>
    <w:rsid w:val="7C0D26A0"/>
    <w:rsid w:val="7C29438A"/>
    <w:rsid w:val="7F91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1036</Words>
  <Characters>1142</Characters>
  <Lines>0</Lines>
  <Paragraphs>0</Paragraphs>
  <TotalTime>14</TotalTime>
  <ScaleCrop>false</ScaleCrop>
  <LinksUpToDate>false</LinksUpToDate>
  <CharactersWithSpaces>1142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2025-02-17T01:26:00Z</dcterms:created>
  <dc:creator>Administrator</dc:creator>
  <cp:lastModifiedBy>奋斗</cp:lastModifiedBy>
  <dcterms:modified xsi:type="dcterms:W3CDTF">2025-11-18T02:55:38Z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eyJoZGlkIjoiODI3Y2M1ZTczZDMzZGNhYjE3ODZiNTY1MWNhM2E3NzEiLCJ1c2VySWQiOiI1MDY2NDI4ODcifQ==</vt:lpwstr>
  </property>
  <property fmtid="{D5CDD505-2E9C-101B-9397-08002B2CF9AE}" pid="4" name="ICV">
    <vt:lpwstr>ADFB1BA92A5B47A6B684A00CD6AF31B6_12</vt:lpwstr>
  </property>
</Properties>
</file>