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E161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小标宋简体" w:cs="Times New Roman"/>
          <w:kern w:val="2"/>
          <w:sz w:val="44"/>
          <w:szCs w:val="44"/>
          <w:lang w:val="en-US" w:eastAsia="zh-CN" w:bidi="ar-SA"/>
        </w:rPr>
      </w:pPr>
      <w:r>
        <w:rPr>
          <w:rFonts w:hint="eastAsia" w:ascii="Times New Roman" w:hAnsi="Times New Roman" w:eastAsia="方正小标宋简体" w:cs="Times New Roman"/>
          <w:kern w:val="2"/>
          <w:sz w:val="44"/>
          <w:szCs w:val="44"/>
          <w:lang w:val="en-US" w:eastAsia="zh-CN" w:bidi="ar-SA"/>
        </w:rPr>
        <w:t>2026年苏州市容器花园营造技能竞赛服务项目询价函</w:t>
      </w:r>
    </w:p>
    <w:p w14:paraId="5B3A2525">
      <w:pPr>
        <w:pStyle w:val="1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</w:p>
    <w:p w14:paraId="3650E6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为充分发挥职业技能竞赛对技能人才培养的引领作用，市园林绿化局拟举办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“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202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6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年苏州市容器花园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营造技能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竞赛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”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（以下简称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“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竞赛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”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）。为保障竞赛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顺利举办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，对竞赛所需配套服务进行公开询价，现将有关事项说明如下：</w:t>
      </w:r>
    </w:p>
    <w:p w14:paraId="1F4F924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  <w:t>一、项目概况</w:t>
      </w:r>
    </w:p>
    <w:p w14:paraId="57CA61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项目名称：2026年苏州市容器花园营造技能竞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赛服务</w:t>
      </w:r>
    </w:p>
    <w:p w14:paraId="43BD5E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服务周期：自合同签订之日起至竞赛活动结束</w:t>
      </w:r>
    </w:p>
    <w:p w14:paraId="253125C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  <w:t>二、服务内容及要求</w:t>
      </w:r>
    </w:p>
    <w:p w14:paraId="1C23A0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1.竞赛场地保障服务。在指定区域完成场地清洁、用电线路检查及隐患排查整改，赛后负责场地物料清理，成果展示。</w:t>
      </w:r>
    </w:p>
    <w:p w14:paraId="3FD06D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2.竞赛物料提供服务。部分基础容器、花卉苗木、栽培基质、技能操作基础工具及防护用品供应，确保数量充足、质量达标。</w:t>
      </w:r>
    </w:p>
    <w:p w14:paraId="754222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3.技术与后勤辅助服务。协助完成理论考试、实践操作各赛项的材料搬运、现场指引。</w:t>
      </w:r>
    </w:p>
    <w:p w14:paraId="70F484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17" w:leftChars="246" w:firstLine="0" w:firstLineChars="0"/>
        <w:textAlignment w:val="auto"/>
        <w:rPr>
          <w:rFonts w:hint="default" w:eastAsia="仿宋_GB2312" w:cs="仿宋_GB2312"/>
          <w:sz w:val="32"/>
          <w:szCs w:val="32"/>
          <w:lang w:val="en-US" w:eastAsia="zh-CN"/>
        </w:rPr>
      </w:pPr>
      <w:r>
        <w:rPr>
          <w:rFonts w:hint="eastAsia" w:eastAsia="黑体"/>
          <w:sz w:val="32"/>
          <w:szCs w:val="32"/>
          <w:lang w:val="en-US" w:eastAsia="zh-CN"/>
        </w:rPr>
        <w:t>三</w:t>
      </w:r>
      <w:r>
        <w:rPr>
          <w:rFonts w:hint="eastAsia" w:ascii="Times New Roman" w:hAnsi="Times New Roman" w:eastAsia="黑体"/>
          <w:sz w:val="32"/>
          <w:szCs w:val="32"/>
          <w:lang w:val="en-US" w:eastAsia="zh-CN"/>
        </w:rPr>
        <w:t>、服务供应商</w:t>
      </w:r>
      <w:r>
        <w:rPr>
          <w:rFonts w:hint="eastAsia" w:eastAsia="黑体"/>
          <w:sz w:val="32"/>
          <w:szCs w:val="32"/>
          <w:lang w:val="en-US" w:eastAsia="zh-CN"/>
        </w:rPr>
        <w:t>条件</w:t>
      </w:r>
    </w:p>
    <w:p w14:paraId="799264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合格询价供应商的一般条件：（1）具有独立承担民事责任的能力；（2）具有良好的商业信誉和健全的财务会计制度；（3）具有履行合同所必需的业务能力；（4）具有依法缴纳税收和社会保障资金的良好记录；（5）参加采购活动前三年内，在经营活动中没有重大违法记录；（6）本项目不接受联合体投标；（7）法律法规规定的其他条件。</w:t>
      </w:r>
    </w:p>
    <w:p w14:paraId="3FBD79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黑体"/>
          <w:sz w:val="32"/>
          <w:szCs w:val="32"/>
          <w:lang w:val="en-US" w:eastAsia="zh-CN"/>
        </w:rPr>
      </w:pPr>
      <w:r>
        <w:rPr>
          <w:rFonts w:hint="eastAsia" w:eastAsia="黑体"/>
          <w:sz w:val="32"/>
          <w:szCs w:val="32"/>
          <w:lang w:val="en-US" w:eastAsia="zh-CN"/>
        </w:rPr>
        <w:t>四</w:t>
      </w:r>
      <w:r>
        <w:rPr>
          <w:rFonts w:hint="eastAsia" w:ascii="Times New Roman" w:hAnsi="Times New Roman" w:eastAsia="黑体"/>
          <w:sz w:val="32"/>
          <w:szCs w:val="32"/>
          <w:lang w:val="en-US" w:eastAsia="zh-CN"/>
        </w:rPr>
        <w:t>、响应材料要求</w:t>
      </w:r>
    </w:p>
    <w:p w14:paraId="508DEA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  <w:t>1.单位营业执照或组织机构代码证复印件；</w:t>
      </w:r>
    </w:p>
    <w:p w14:paraId="7B3F9C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  <w:t>2.单位法定代表人（或负责人）身份证复印件；</w:t>
      </w:r>
    </w:p>
    <w:p w14:paraId="7079DC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  <w:t>3.一次性书面报价清单，报价单需加盖单位公章；</w:t>
      </w:r>
    </w:p>
    <w:p w14:paraId="180E28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  <w:t>4.资格承诺书及相关资格证明材料；</w:t>
      </w:r>
    </w:p>
    <w:p w14:paraId="69E005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  <w:t>5.针对本项目的服务方案；</w:t>
      </w:r>
    </w:p>
    <w:p w14:paraId="5374F5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  <w:t>响应材料请一式三份装订成册、密封。密封袋封口处必须加盖公章并在密封袋正面标明项目名称、单位名称、地址和联系方式。</w:t>
      </w:r>
    </w:p>
    <w:p w14:paraId="662CAF1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黑体" w:cs="Times New Roman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黑体" w:cs="Times New Roman"/>
          <w:kern w:val="2"/>
          <w:sz w:val="32"/>
          <w:szCs w:val="32"/>
          <w:highlight w:val="none"/>
          <w:lang w:val="en-US" w:eastAsia="zh-CN" w:bidi="ar-SA"/>
        </w:rPr>
        <w:t>五、评标标准</w:t>
      </w:r>
    </w:p>
    <w:p w14:paraId="262F51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  <w:t>1.在符合或高于询价采购文件各项要求的情况下，采购人考虑服务价格、服务方案、服务经验等综合因素择优选择技术服务单位。</w:t>
      </w:r>
    </w:p>
    <w:p w14:paraId="4121FF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  <w:t>2.技术服务单位报价和承诺一经认可，即为成交的合同价；</w:t>
      </w:r>
    </w:p>
    <w:p w14:paraId="69C226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  <w:t>3.报价标准：本次采购最高限价不超过15万元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。</w:t>
      </w:r>
    </w:p>
    <w:p w14:paraId="6B228FF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  <w:t>六、报送要求</w:t>
      </w:r>
    </w:p>
    <w:p w14:paraId="3D0D44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1.报价材料邮寄或送至：苏州市公园路255号苏州市园林和绿化管理局，联系人：蔡玉林，电话：13306208015。</w:t>
      </w:r>
    </w:p>
    <w:p w14:paraId="48E542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2.询价时间：2026年8月13日—2026年8月17日。投标人应于2026年8月17日17:00前将响应材料密封寄（送）达，逾期送达将予以拒收。</w:t>
      </w:r>
    </w:p>
    <w:p w14:paraId="2EB108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</w:pPr>
    </w:p>
    <w:p w14:paraId="09C3AF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0" w:firstLineChars="1500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苏州市园林和绿化管理局</w:t>
      </w:r>
    </w:p>
    <w:p w14:paraId="21DBA1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440" w:firstLineChars="1700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2026年8月13日</w:t>
      </w:r>
    </w:p>
    <w:sectPr>
      <w:pgSz w:w="11906" w:h="16838"/>
      <w:pgMar w:top="1440" w:right="1440" w:bottom="1440" w:left="144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060B016-BA99-4E3C-8B22-1403A45FB84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9CE117E1-A0DB-48EE-87F3-F21D53A6A9E8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8192247D-F1AF-4E87-802E-C0BC827940CD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A9D9EE4A-8887-47D5-9392-424B8A2BBE5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saveSubsetFonts/>
  <w:documentProtection w:enforcement="0"/>
  <w:compat>
    <w:useFELayout/>
    <w:compatSetting w:name="compatibilityMode" w:uri="http://schemas.microsoft.com/office/word" w:val="15"/>
  </w:compat>
  <w:rsids>
    <w:rsidRoot w:val="00000000"/>
    <w:rsid w:val="01D628BE"/>
    <w:rsid w:val="03713C38"/>
    <w:rsid w:val="045F303F"/>
    <w:rsid w:val="097B4FB3"/>
    <w:rsid w:val="10C36704"/>
    <w:rsid w:val="113B310C"/>
    <w:rsid w:val="11E13E24"/>
    <w:rsid w:val="16865F9C"/>
    <w:rsid w:val="16A20793"/>
    <w:rsid w:val="16C72102"/>
    <w:rsid w:val="19E40E4D"/>
    <w:rsid w:val="231D04D9"/>
    <w:rsid w:val="26E45D09"/>
    <w:rsid w:val="2D3E1538"/>
    <w:rsid w:val="304A60A2"/>
    <w:rsid w:val="329757FE"/>
    <w:rsid w:val="3A534813"/>
    <w:rsid w:val="3A872856"/>
    <w:rsid w:val="46674E60"/>
    <w:rsid w:val="47B82A17"/>
    <w:rsid w:val="49415E3C"/>
    <w:rsid w:val="513B37B5"/>
    <w:rsid w:val="53F3339E"/>
    <w:rsid w:val="58CF0836"/>
    <w:rsid w:val="594102D5"/>
    <w:rsid w:val="5DD010E5"/>
    <w:rsid w:val="5EB1417A"/>
    <w:rsid w:val="6098238E"/>
    <w:rsid w:val="63C35974"/>
    <w:rsid w:val="70D50A94"/>
    <w:rsid w:val="731735E6"/>
    <w:rsid w:val="77065E4C"/>
    <w:rsid w:val="7836450F"/>
    <w:rsid w:val="79397B83"/>
    <w:rsid w:val="795A5FDB"/>
    <w:rsid w:val="79FB55D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heading 1"/>
    <w:next w:val="1"/>
    <w:qFormat/>
    <w:uiPriority w:val="0"/>
    <w:pPr>
      <w:spacing w:before="380" w:after="140" w:line="288" w:lineRule="auto"/>
      <w:ind w:left="0"/>
      <w:jc w:val="left"/>
      <w:outlineLvl w:val="0"/>
    </w:pPr>
    <w:rPr>
      <w:rFonts w:ascii="Arial" w:hAnsi="Arial" w:eastAsia="等线" w:cs="Arial"/>
      <w:b/>
      <w:bCs/>
      <w:sz w:val="36"/>
      <w:szCs w:val="36"/>
    </w:rPr>
  </w:style>
  <w:style w:type="paragraph" w:styleId="3">
    <w:name w:val="heading 2"/>
    <w:next w:val="1"/>
    <w:qFormat/>
    <w:uiPriority w:val="0"/>
    <w:pPr>
      <w:spacing w:before="320" w:after="120" w:line="288" w:lineRule="auto"/>
      <w:ind w:left="0"/>
      <w:jc w:val="left"/>
      <w:outlineLvl w:val="1"/>
    </w:pPr>
    <w:rPr>
      <w:rFonts w:ascii="Arial" w:hAnsi="Arial" w:eastAsia="等线" w:cs="Arial"/>
      <w:b/>
      <w:bCs/>
      <w:sz w:val="32"/>
      <w:szCs w:val="32"/>
    </w:rPr>
  </w:style>
  <w:style w:type="paragraph" w:styleId="4">
    <w:name w:val="heading 3"/>
    <w:next w:val="1"/>
    <w:qFormat/>
    <w:uiPriority w:val="0"/>
    <w:pPr>
      <w:spacing w:before="300" w:after="120" w:line="288" w:lineRule="auto"/>
      <w:ind w:left="0"/>
      <w:jc w:val="left"/>
      <w:outlineLvl w:val="2"/>
    </w:pPr>
    <w:rPr>
      <w:rFonts w:ascii="Arial" w:hAnsi="Arial" w:eastAsia="等线" w:cs="Arial"/>
      <w:b/>
      <w:bCs/>
      <w:sz w:val="30"/>
      <w:szCs w:val="30"/>
    </w:rPr>
  </w:style>
  <w:style w:type="paragraph" w:styleId="5">
    <w:name w:val="heading 4"/>
    <w:next w:val="1"/>
    <w:qFormat/>
    <w:uiPriority w:val="0"/>
    <w:pPr>
      <w:spacing w:before="260" w:after="120" w:line="288" w:lineRule="auto"/>
      <w:ind w:left="0"/>
      <w:jc w:val="left"/>
      <w:outlineLvl w:val="3"/>
    </w:pPr>
    <w:rPr>
      <w:rFonts w:ascii="Arial" w:hAnsi="Arial" w:eastAsia="等线" w:cs="Arial"/>
      <w:b/>
      <w:bCs/>
      <w:sz w:val="28"/>
      <w:szCs w:val="28"/>
    </w:rPr>
  </w:style>
  <w:style w:type="paragraph" w:styleId="6">
    <w:name w:val="heading 5"/>
    <w:next w:val="1"/>
    <w:qFormat/>
    <w:uiPriority w:val="0"/>
    <w:pPr>
      <w:spacing w:before="240" w:after="120" w:line="288" w:lineRule="auto"/>
      <w:ind w:left="0"/>
      <w:jc w:val="left"/>
      <w:outlineLvl w:val="4"/>
    </w:pPr>
    <w:rPr>
      <w:rFonts w:ascii="Arial" w:hAnsi="Arial" w:eastAsia="等线" w:cs="Arial"/>
      <w:b/>
      <w:bCs/>
      <w:sz w:val="24"/>
      <w:szCs w:val="24"/>
    </w:rPr>
  </w:style>
  <w:style w:type="paragraph" w:styleId="7">
    <w:name w:val="heading 6"/>
    <w:next w:val="1"/>
    <w:qFormat/>
    <w:uiPriority w:val="0"/>
    <w:pPr>
      <w:spacing w:before="240" w:after="120" w:line="288" w:lineRule="auto"/>
      <w:ind w:left="0"/>
      <w:jc w:val="left"/>
      <w:outlineLvl w:val="5"/>
    </w:pPr>
    <w:rPr>
      <w:rFonts w:ascii="Arial" w:hAnsi="Arial" w:eastAsia="等线" w:cs="Arial"/>
      <w:b/>
      <w:bCs/>
      <w:sz w:val="24"/>
      <w:szCs w:val="24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footnote text"/>
    <w:link w:val="15"/>
    <w:semiHidden/>
    <w:unhideWhenUsed/>
    <w:qFormat/>
    <w:uiPriority w:val="99"/>
    <w:pPr>
      <w:spacing w:after="0" w:line="240" w:lineRule="auto"/>
    </w:pPr>
    <w:rPr>
      <w:rFonts w:asciiTheme="minorHAnsi" w:hAnsiTheme="minorHAnsi" w:eastAsiaTheme="minorEastAsia" w:cstheme="minorBidi"/>
      <w:sz w:val="20"/>
      <w:szCs w:val="20"/>
    </w:rPr>
  </w:style>
  <w:style w:type="paragraph" w:styleId="9">
    <w:name w:val="Title"/>
    <w:qFormat/>
    <w:uiPriority w:val="0"/>
    <w:pPr>
      <w:spacing w:before="480" w:after="480" w:line="288" w:lineRule="auto"/>
      <w:ind w:left="0"/>
    </w:pPr>
    <w:rPr>
      <w:rFonts w:ascii="Arial" w:hAnsi="Arial" w:eastAsia="等线" w:cs="Arial"/>
      <w:b/>
      <w:bCs/>
      <w:sz w:val="52"/>
      <w:szCs w:val="52"/>
    </w:rPr>
  </w:style>
  <w:style w:type="character" w:styleId="12">
    <w:name w:val="Hyperlink"/>
    <w:unhideWhenUsed/>
    <w:qFormat/>
    <w:uiPriority w:val="99"/>
    <w:rPr>
      <w:color w:val="0563C1"/>
      <w:u w:val="single"/>
    </w:rPr>
  </w:style>
  <w:style w:type="character" w:styleId="13">
    <w:name w:val="footnote reference"/>
    <w:semiHidden/>
    <w:unhideWhenUsed/>
    <w:qFormat/>
    <w:uiPriority w:val="99"/>
    <w:rPr>
      <w:vertAlign w:val="superscript"/>
    </w:rPr>
  </w:style>
  <w:style w:type="paragraph" w:styleId="14">
    <w:name w:val="List Paragraph"/>
    <w:qFormat/>
    <w:uiPriority w:val="0"/>
    <w:rPr>
      <w:rFonts w:asciiTheme="minorHAnsi" w:hAnsiTheme="minorHAnsi" w:eastAsiaTheme="minorEastAsia" w:cstheme="minorBidi"/>
      <w:sz w:val="21"/>
      <w:szCs w:val="22"/>
    </w:rPr>
  </w:style>
  <w:style w:type="character" w:customStyle="1" w:styleId="15">
    <w:name w:val="Footnote Text Char"/>
    <w:link w:val="8"/>
    <w:semiHidden/>
    <w:unhideWhenUsed/>
    <w:qFormat/>
    <w:uiPriority w:val="99"/>
    <w:rPr>
      <w:sz w:val="20"/>
      <w:szCs w:val="20"/>
    </w:rPr>
  </w:style>
  <w:style w:type="paragraph" w:customStyle="1" w:styleId="16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  <w:style w:type="paragraph" w:customStyle="1" w:styleId="17">
    <w:name w:val="_Style 14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color w:val="8F959E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68b0ba99-824d-414d-96be-09a5005b6176</errorID>
      <errorWord>签订之日起至</errorWord>
      <group>L1_Word</group>
      <groupName>字词问题</groupName>
      <ability>L2_Typo</ability>
      <abilityName>字词错误</abilityName>
      <candidateList>
        <item>签订之日起</item>
      </candidateList>
      <explain/>
      <paraID>43BD5E9D</paraID>
      <start>8</start>
      <end>14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0c0fb8f6-f4a5-4902-80ae-9921412dc98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872</Words>
  <Characters>927</Characters>
  <TotalTime>7</TotalTime>
  <ScaleCrop>false</ScaleCrop>
  <LinksUpToDate>false</LinksUpToDate>
  <CharactersWithSpaces>927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2025-09-24T02:52:00Z</dcterms:created>
  <dc:creator>Un-named</dc:creator>
  <cp:lastModifiedBy>蔡玉林</cp:lastModifiedBy>
  <cp:lastPrinted>2025-10-15T06:53:00Z</cp:lastPrinted>
  <dcterms:modified xsi:type="dcterms:W3CDTF">2026-08-13T01:29:20Z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eyJoZGlkIjoiMmY0Yjc0OWQ2YzIwMTdlYjI1MjQ3Njg4NzIwY2RlMzQiLCJ1c2VySWQiOiI3NzA3MDkxNTIifQ==</vt:lpwstr>
  </property>
  <property fmtid="{D5CDD505-2E9C-101B-9397-08002B2CF9AE}" pid="3" name="KSOProductBuildVer">
    <vt:lpwstr>2052-12.1.0.28043</vt:lpwstr>
  </property>
  <property fmtid="{D5CDD505-2E9C-101B-9397-08002B2CF9AE}" pid="4" name="ICV">
    <vt:lpwstr>3F10D9FD627B49F295814F5F161CCB4F_12</vt:lpwstr>
  </property>
</Properties>
</file>