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B7426">
      <w:pPr>
        <w:spacing w:before="100" w:beforeAutospacing="1" w:after="100" w:afterAutospacing="1"/>
        <w:jc w:val="center"/>
        <w:rPr>
          <w:rFonts w:ascii="Times New Roman" w:hAnsi="Times New Roman" w:eastAsia="方正公文小标宋" w:cs="Times New Roman"/>
          <w:bCs/>
          <w:color w:val="000000"/>
          <w:sz w:val="44"/>
          <w:szCs w:val="44"/>
        </w:rPr>
      </w:pPr>
      <w:bookmarkStart w:id="0" w:name="_Toc23264"/>
    </w:p>
    <w:p w14:paraId="7E71B96F">
      <w:pPr>
        <w:spacing w:before="100" w:beforeAutospacing="1" w:after="100" w:afterAutospacing="1"/>
        <w:jc w:val="center"/>
        <w:rPr>
          <w:rFonts w:ascii="Times New Roman" w:hAnsi="Times New Roman" w:eastAsia="方正公文小标宋" w:cs="Times New Roman"/>
          <w:bCs/>
          <w:color w:val="000000"/>
          <w:sz w:val="44"/>
          <w:szCs w:val="44"/>
        </w:rPr>
      </w:pPr>
    </w:p>
    <w:p w14:paraId="771A1F5A">
      <w:pPr>
        <w:spacing w:line="640" w:lineRule="exact"/>
        <w:ind w:firstLine="0" w:firstLineChars="0"/>
        <w:jc w:val="center"/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</w:pPr>
      <w:r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  <w:t>苏州市“吴地工匠”职业技能系列竞赛活动</w:t>
      </w:r>
    </w:p>
    <w:p w14:paraId="18B7F6B3">
      <w:pPr>
        <w:spacing w:line="640" w:lineRule="exact"/>
        <w:ind w:firstLine="0" w:firstLineChars="0"/>
        <w:jc w:val="center"/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</w:pPr>
      <w:r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  <w:t>——202</w:t>
      </w:r>
      <w:r>
        <w:rPr>
          <w:rFonts w:hint="eastAsia" w:ascii="Times New Roman" w:hAnsi="Times New Roman" w:eastAsia="方正公文小标宋" w:cs="Times New Roman"/>
          <w:b/>
          <w:bCs w:val="0"/>
          <w:color w:val="000000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  <w:t>年苏州市</w:t>
      </w:r>
      <w:r>
        <w:rPr>
          <w:rFonts w:hint="eastAsia" w:ascii="Times New Roman" w:hAnsi="Times New Roman" w:eastAsia="方正公文小标宋" w:cs="Times New Roman"/>
          <w:b/>
          <w:bCs w:val="0"/>
          <w:color w:val="000000"/>
          <w:sz w:val="44"/>
          <w:szCs w:val="44"/>
        </w:rPr>
        <w:t>园林绿化行业</w:t>
      </w:r>
      <w:r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  <w:t>职业技能</w:t>
      </w:r>
    </w:p>
    <w:p w14:paraId="6B85AC35">
      <w:pPr>
        <w:spacing w:line="640" w:lineRule="exact"/>
        <w:ind w:firstLine="0" w:firstLineChars="0"/>
        <w:jc w:val="center"/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</w:pPr>
      <w:r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  <w:t>竞赛</w:t>
      </w:r>
      <w:r>
        <w:rPr>
          <w:rFonts w:hint="eastAsia" w:ascii="Times New Roman" w:hAnsi="Times New Roman" w:eastAsia="方正公文小标宋" w:cs="Times New Roman"/>
          <w:b/>
          <w:bCs w:val="0"/>
          <w:color w:val="00000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公文小标宋" w:cs="Times New Roman"/>
          <w:b/>
          <w:bCs w:val="0"/>
          <w:color w:val="000000"/>
          <w:sz w:val="44"/>
          <w:szCs w:val="44"/>
          <w:lang w:val="en-US" w:eastAsia="zh-CN"/>
        </w:rPr>
        <w:t>艺术插花</w:t>
      </w:r>
      <w:r>
        <w:rPr>
          <w:rFonts w:hint="eastAsia" w:ascii="Times New Roman" w:hAnsi="Times New Roman" w:eastAsia="方正公文小标宋" w:cs="Times New Roman"/>
          <w:b/>
          <w:bCs w:val="0"/>
          <w:color w:val="000000"/>
          <w:sz w:val="44"/>
          <w:szCs w:val="44"/>
          <w:lang w:eastAsia="zh-CN"/>
        </w:rPr>
        <w:t>）</w:t>
      </w:r>
      <w:r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  <w:t>组织技术工作文件</w:t>
      </w:r>
      <w:bookmarkEnd w:id="0"/>
    </w:p>
    <w:p w14:paraId="293D3C20">
      <w:pPr>
        <w:widowControl/>
        <w:ind w:firstLine="960"/>
        <w:contextualSpacing/>
        <w:rPr>
          <w:rFonts w:ascii="Times New Roman" w:hAnsi="Times New Roman" w:eastAsia="微软雅黑" w:cs="Times New Roman"/>
          <w:b/>
          <w:color w:val="0084AD"/>
          <w:spacing w:val="-10"/>
          <w:kern w:val="28"/>
          <w:sz w:val="50"/>
          <w:szCs w:val="56"/>
          <w:lang w:val="en-AU"/>
        </w:rPr>
      </w:pPr>
    </w:p>
    <w:p w14:paraId="5D6FEBB5">
      <w:pPr>
        <w:ind w:firstLine="640"/>
        <w:rPr>
          <w:rFonts w:ascii="Times New Roman" w:hAnsi="Times New Roman" w:cs="Times New Roman"/>
          <w:lang w:val="en-AU"/>
        </w:rPr>
      </w:pPr>
    </w:p>
    <w:p w14:paraId="0F1BAD62">
      <w:pPr>
        <w:ind w:firstLine="640"/>
        <w:rPr>
          <w:rFonts w:ascii="Times New Roman" w:hAnsi="Times New Roman" w:cs="Times New Roman"/>
          <w:lang w:val="en-AU"/>
        </w:rPr>
      </w:pPr>
    </w:p>
    <w:p w14:paraId="072C1854">
      <w:pPr>
        <w:ind w:firstLine="640"/>
        <w:rPr>
          <w:rFonts w:ascii="Times New Roman" w:hAnsi="Times New Roman" w:cs="Times New Roman"/>
          <w:lang w:val="en-AU"/>
        </w:rPr>
      </w:pPr>
    </w:p>
    <w:p w14:paraId="212F8BAA">
      <w:pPr>
        <w:ind w:firstLine="640"/>
        <w:rPr>
          <w:rFonts w:ascii="Times New Roman" w:hAnsi="Times New Roman" w:cs="Times New Roman"/>
          <w:lang w:val="en-AU"/>
        </w:rPr>
      </w:pPr>
    </w:p>
    <w:p w14:paraId="543CC6E0">
      <w:pPr>
        <w:ind w:firstLine="640"/>
        <w:rPr>
          <w:rFonts w:ascii="Times New Roman" w:hAnsi="Times New Roman" w:cs="Times New Roman"/>
          <w:lang w:val="en-AU"/>
        </w:rPr>
      </w:pPr>
    </w:p>
    <w:p w14:paraId="7EABE62C">
      <w:pPr>
        <w:ind w:firstLine="640"/>
        <w:rPr>
          <w:rFonts w:ascii="Times New Roman" w:hAnsi="Times New Roman" w:cs="Times New Roman"/>
          <w:lang w:val="en-AU"/>
        </w:rPr>
      </w:pPr>
    </w:p>
    <w:p w14:paraId="53243B5C">
      <w:pPr>
        <w:pStyle w:val="14"/>
        <w:ind w:firstLine="640"/>
        <w:rPr>
          <w:rFonts w:ascii="Times New Roman" w:hAnsi="Times New Roman" w:eastAsia="仿宋_GB2312" w:cs="Times New Roman"/>
          <w:lang w:val="en-AU" w:eastAsia="zh-CN"/>
        </w:rPr>
      </w:pPr>
    </w:p>
    <w:p w14:paraId="73549FD8">
      <w:pPr>
        <w:pStyle w:val="14"/>
        <w:ind w:firstLine="640"/>
        <w:rPr>
          <w:rFonts w:ascii="Times New Roman" w:hAnsi="Times New Roman" w:eastAsia="仿宋_GB2312" w:cs="Times New Roman"/>
          <w:lang w:val="en-AU" w:eastAsia="zh-CN"/>
        </w:rPr>
      </w:pPr>
    </w:p>
    <w:p w14:paraId="689CF3ED">
      <w:pPr>
        <w:pStyle w:val="14"/>
        <w:ind w:firstLine="640"/>
        <w:rPr>
          <w:rFonts w:ascii="Times New Roman" w:hAnsi="Times New Roman" w:eastAsia="仿宋_GB2312" w:cs="Times New Roman"/>
          <w:lang w:val="en-AU" w:eastAsia="zh-CN"/>
        </w:rPr>
      </w:pPr>
    </w:p>
    <w:p w14:paraId="3F861074">
      <w:pPr>
        <w:pStyle w:val="14"/>
        <w:ind w:firstLine="640"/>
        <w:rPr>
          <w:rFonts w:ascii="Times New Roman" w:hAnsi="Times New Roman" w:eastAsia="仿宋_GB2312" w:cs="Times New Roman"/>
          <w:lang w:val="en-AU" w:eastAsia="zh-CN"/>
        </w:rPr>
      </w:pPr>
    </w:p>
    <w:p w14:paraId="4DF91202">
      <w:pPr>
        <w:ind w:firstLine="721"/>
        <w:jc w:val="center"/>
        <w:rPr>
          <w:rFonts w:ascii="Times New Roman" w:hAnsi="Times New Roman" w:cs="Times New Roman"/>
          <w:b/>
          <w:bCs/>
          <w:sz w:val="36"/>
          <w:szCs w:val="36"/>
          <w:lang w:val="en-A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AU"/>
        </w:rPr>
        <w:t>苏州市园林和绿化管理局</w:t>
      </w:r>
    </w:p>
    <w:p w14:paraId="4A5F8049">
      <w:pPr>
        <w:ind w:firstLine="721"/>
        <w:jc w:val="center"/>
        <w:rPr>
          <w:rFonts w:ascii="Times New Roman" w:hAnsi="Times New Roman" w:cs="Times New Roman"/>
          <w:b/>
          <w:bCs/>
          <w:sz w:val="36"/>
          <w:szCs w:val="36"/>
        </w:rPr>
        <w:sectPr>
          <w:footerReference r:id="rId5" w:type="default"/>
          <w:pgSz w:w="11906" w:h="16838"/>
          <w:pgMar w:top="2041" w:right="1588" w:bottom="1985" w:left="1588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 w:val="36"/>
          <w:szCs w:val="36"/>
          <w:lang w:val="en-AU"/>
        </w:rPr>
        <w:t>202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sz w:val="36"/>
          <w:szCs w:val="36"/>
          <w:lang w:val="en-AU"/>
        </w:rPr>
        <w:t>年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7</w:t>
      </w:r>
      <w:r>
        <w:rPr>
          <w:rFonts w:ascii="Times New Roman" w:hAnsi="Times New Roman" w:cs="Times New Roman"/>
          <w:b/>
          <w:bCs/>
          <w:sz w:val="36"/>
          <w:szCs w:val="36"/>
        </w:rPr>
        <w:t>月</w:t>
      </w:r>
    </w:p>
    <w:p w14:paraId="0E110566">
      <w:pPr>
        <w:ind w:firstLine="0" w:firstLineChars="0"/>
        <w:jc w:val="center"/>
        <w:rPr>
          <w:rFonts w:ascii="Times New Roman" w:hAnsi="Times New Roman" w:eastAsia="宋体" w:cs="Times New Roman"/>
          <w:b/>
          <w:sz w:val="44"/>
          <w:szCs w:val="44"/>
        </w:rPr>
      </w:pPr>
      <w:r>
        <w:rPr>
          <w:rFonts w:ascii="Times New Roman" w:hAnsi="Times New Roman" w:eastAsia="宋体" w:cs="Times New Roman"/>
          <w:b/>
          <w:sz w:val="44"/>
          <w:szCs w:val="44"/>
        </w:rPr>
        <w:t>目 录</w:t>
      </w:r>
    </w:p>
    <w:sdt>
      <w:sdtPr>
        <w:rPr>
          <w:rFonts w:ascii="Times New Roman" w:hAnsi="Times New Roman" w:eastAsia="宋体" w:cs="Times New Roman"/>
        </w:rPr>
        <w:id w:val="147457453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Arial" w:cs="Times New Roman"/>
          <w:b/>
          <w:szCs w:val="32"/>
        </w:rPr>
      </w:sdtEndPr>
      <w:sdtContent>
        <w:p w14:paraId="6CA7CCAF">
          <w:pPr>
            <w:pStyle w:val="11"/>
            <w:tabs>
              <w:tab w:val="right" w:leader="dot" w:pos="8730"/>
            </w:tabs>
            <w:ind w:firstLine="640"/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</w:pPr>
          <w:r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  <w:fldChar w:fldCharType="begin"/>
          </w:r>
          <w:r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  <w:fldChar w:fldCharType="separate"/>
          </w:r>
        </w:p>
        <w:p w14:paraId="13CD3C3C">
          <w:pPr>
            <w:pStyle w:val="11"/>
            <w:tabs>
              <w:tab w:val="right" w:leader="dot" w:pos="8730"/>
            </w:tabs>
            <w:ind w:firstLine="640"/>
          </w:pPr>
          <w:r>
            <w:fldChar w:fldCharType="begin"/>
          </w:r>
          <w:r>
            <w:instrText xml:space="preserve"> HYPERLINK \l "_Toc11675"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一、竞赛项目技术描述</w:t>
          </w:r>
          <w:r>
            <w:tab/>
          </w:r>
          <w:r>
            <w:rPr>
              <w:rFonts w:hint="eastAsia"/>
              <w:lang w:val="en-US" w:eastAsia="zh-CN"/>
            </w:rPr>
            <w:t>3</w:t>
          </w:r>
          <w:r>
            <w:fldChar w:fldCharType="end"/>
          </w:r>
        </w:p>
        <w:p w14:paraId="7E24EB61">
          <w:pPr>
            <w:pStyle w:val="11"/>
            <w:tabs>
              <w:tab w:val="right" w:leader="dot" w:pos="8730"/>
            </w:tabs>
            <w:ind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"_Toc3688"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二、竞赛内容</w:t>
          </w:r>
          <w:r>
            <w:tab/>
          </w:r>
          <w:r>
            <w:rPr>
              <w:rFonts w:hint="eastAsia"/>
              <w:lang w:val="en-US" w:eastAsia="zh-CN"/>
            </w:rPr>
            <w:t>3</w:t>
          </w:r>
          <w:r>
            <w:fldChar w:fldCharType="end"/>
          </w:r>
          <w:r>
            <w:rPr>
              <w:rFonts w:hint="eastAsia"/>
              <w:lang w:val="en-US" w:eastAsia="zh-CN"/>
            </w:rPr>
            <w:t>-6</w:t>
          </w:r>
        </w:p>
        <w:p w14:paraId="2272EEDA">
          <w:pPr>
            <w:pStyle w:val="12"/>
            <w:tabs>
              <w:tab w:val="right" w:leader="dot" w:pos="8730"/>
            </w:tabs>
            <w:ind w:left="640" w:firstLine="640"/>
          </w:pPr>
          <w:r>
            <w:fldChar w:fldCharType="begin"/>
          </w:r>
          <w:r>
            <w:instrText xml:space="preserve"> HYPERLINK \l "_Toc4256"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（一）赛项涵盖知识点、技能点</w:t>
          </w:r>
          <w:r>
            <w:tab/>
          </w:r>
          <w:r>
            <w:rPr>
              <w:rFonts w:hint="eastAsia"/>
              <w:lang w:val="en-US" w:eastAsia="zh-CN"/>
            </w:rPr>
            <w:t>3</w:t>
          </w:r>
          <w:r>
            <w:fldChar w:fldCharType="end"/>
          </w:r>
        </w:p>
        <w:p w14:paraId="66E98086">
          <w:pPr>
            <w:pStyle w:val="12"/>
            <w:tabs>
              <w:tab w:val="right" w:leader="dot" w:pos="8730"/>
            </w:tabs>
            <w:ind w:left="640" w:firstLine="640"/>
          </w:pPr>
          <w:r>
            <w:fldChar w:fldCharType="begin"/>
          </w:r>
          <w:r>
            <w:instrText xml:space="preserve"> HYPERLINK \l "_Toc1803" </w:instrText>
          </w:r>
          <w:r>
            <w:fldChar w:fldCharType="separate"/>
          </w:r>
          <w:r>
            <w:rPr>
              <w:rFonts w:ascii="Times New Roman" w:hAnsi="Times New Roman" w:cs="Times New Roman"/>
              <w:szCs w:val="32"/>
            </w:rPr>
            <w:t>（二）竞赛赛制</w:t>
          </w:r>
          <w:r>
            <w:tab/>
          </w:r>
          <w:r>
            <w:rPr>
              <w:rFonts w:hint="eastAsia"/>
              <w:lang w:val="en-US" w:eastAsia="zh-CN"/>
            </w:rPr>
            <w:t>6</w:t>
          </w:r>
          <w:r>
            <w:rPr>
              <w:rFonts w:hint="eastAsia"/>
            </w:rPr>
            <w:fldChar w:fldCharType="end"/>
          </w:r>
        </w:p>
        <w:p w14:paraId="294E117F">
          <w:pPr>
            <w:pStyle w:val="12"/>
            <w:tabs>
              <w:tab w:val="right" w:leader="dot" w:pos="8730"/>
            </w:tabs>
            <w:ind w:left="640" w:firstLine="640"/>
          </w:pPr>
          <w:r>
            <w:fldChar w:fldCharType="begin"/>
          </w:r>
          <w:r>
            <w:instrText xml:space="preserve"> HYPERLINK \l "_Toc8453"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（三）竞赛成绩</w:t>
          </w:r>
          <w:r>
            <w:tab/>
          </w:r>
          <w:r>
            <w:rPr>
              <w:rFonts w:hint="eastAsia"/>
              <w:lang w:val="en-US" w:eastAsia="zh-CN"/>
            </w:rPr>
            <w:t>6</w:t>
          </w:r>
          <w:r>
            <w:rPr>
              <w:rFonts w:hint="eastAsia"/>
            </w:rPr>
            <w:fldChar w:fldCharType="end"/>
          </w:r>
        </w:p>
        <w:p w14:paraId="2A2C79BA">
          <w:pPr>
            <w:pStyle w:val="11"/>
            <w:tabs>
              <w:tab w:val="right" w:leader="dot" w:pos="8730"/>
            </w:tabs>
            <w:ind w:firstLine="640"/>
          </w:pPr>
          <w:r>
            <w:fldChar w:fldCharType="begin"/>
          </w:r>
          <w:r>
            <w:instrText xml:space="preserve"> HYPERLINK \l "_Toc15900"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三、竞赛形式</w:t>
          </w:r>
          <w:r>
            <w:tab/>
          </w:r>
          <w:r>
            <w:rPr>
              <w:rFonts w:hint="eastAsia"/>
              <w:lang w:val="en-US" w:eastAsia="zh-CN"/>
            </w:rPr>
            <w:t>6</w:t>
          </w:r>
          <w:r>
            <w:rPr>
              <w:rFonts w:hint="eastAsia"/>
            </w:rPr>
            <w:fldChar w:fldCharType="end"/>
          </w:r>
        </w:p>
        <w:p w14:paraId="33FF4AAA">
          <w:pPr>
            <w:pStyle w:val="11"/>
            <w:tabs>
              <w:tab w:val="right" w:leader="dot" w:pos="8730"/>
            </w:tabs>
            <w:ind w:firstLine="640"/>
          </w:pPr>
          <w:r>
            <w:fldChar w:fldCharType="begin"/>
          </w:r>
          <w:r>
            <w:instrText xml:space="preserve"> HYPERLINK \l "_Toc15800"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四、竞赛技术标准</w:t>
          </w:r>
          <w:r>
            <w:tab/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</w:rPr>
            <w:fldChar w:fldCharType="end"/>
          </w:r>
        </w:p>
        <w:p w14:paraId="381E1A40">
          <w:pPr>
            <w:pStyle w:val="11"/>
            <w:tabs>
              <w:tab w:val="right" w:leader="dot" w:pos="8730"/>
            </w:tabs>
            <w:ind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"_Toc12915"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五、竞赛流程</w:t>
          </w:r>
          <w:r>
            <w:tab/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  <w:lang w:val="en-US" w:eastAsia="zh-CN"/>
            </w:rPr>
            <w:t>-8</w:t>
          </w:r>
        </w:p>
        <w:p w14:paraId="0D12FD71">
          <w:pPr>
            <w:pStyle w:val="12"/>
            <w:tabs>
              <w:tab w:val="right" w:leader="dot" w:pos="8730"/>
            </w:tabs>
            <w:ind w:left="640" w:firstLine="640"/>
          </w:pPr>
          <w:r>
            <w:fldChar w:fldCharType="begin"/>
          </w:r>
          <w:r>
            <w:instrText xml:space="preserve"> HYPERLINK \l "_Toc20740"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（一）理论竞赛</w:t>
          </w:r>
          <w:r>
            <w:tab/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</w:rPr>
            <w:fldChar w:fldCharType="end"/>
          </w:r>
        </w:p>
        <w:p w14:paraId="0E412EE2">
          <w:pPr>
            <w:pStyle w:val="12"/>
            <w:tabs>
              <w:tab w:val="right" w:leader="dot" w:pos="8730"/>
            </w:tabs>
            <w:ind w:left="640"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"_Toc14520" </w:instrText>
          </w:r>
          <w:r>
            <w:fldChar w:fldCharType="separate"/>
          </w:r>
          <w:r>
            <w:rPr>
              <w:rFonts w:hint="eastAsia"/>
            </w:rPr>
            <w:t>（二）</w:t>
          </w:r>
          <w:r>
            <w:rPr>
              <w:rFonts w:ascii="Times New Roman" w:hAnsi="Times New Roman" w:cs="Times New Roman"/>
              <w:bCs/>
              <w:szCs w:val="32"/>
            </w:rPr>
            <w:t>技能竞赛</w:t>
          </w:r>
          <w:r>
            <w:tab/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  <w:lang w:val="en-US" w:eastAsia="zh-CN"/>
            </w:rPr>
            <w:t>-8</w:t>
          </w:r>
        </w:p>
        <w:p w14:paraId="629B473A">
          <w:pPr>
            <w:pStyle w:val="11"/>
            <w:tabs>
              <w:tab w:val="right" w:leader="dot" w:pos="8730"/>
            </w:tabs>
            <w:ind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"_Toc19028"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六、竞赛试题</w:t>
          </w:r>
          <w:r>
            <w:tab/>
          </w:r>
          <w:r>
            <w:rPr>
              <w:rFonts w:hint="eastAsia"/>
              <w:lang w:val="en-US" w:eastAsia="zh-CN"/>
            </w:rPr>
            <w:t>8</w:t>
          </w:r>
          <w:r>
            <w:fldChar w:fldCharType="end"/>
          </w:r>
          <w:r>
            <w:rPr>
              <w:rFonts w:hint="eastAsia"/>
              <w:lang w:val="en-US" w:eastAsia="zh-CN"/>
            </w:rPr>
            <w:t>-12</w:t>
          </w:r>
        </w:p>
        <w:p w14:paraId="0A223455">
          <w:pPr>
            <w:pStyle w:val="12"/>
            <w:tabs>
              <w:tab w:val="right" w:leader="dot" w:pos="8730"/>
            </w:tabs>
            <w:ind w:left="640"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"_Toc17031"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（一）比赛项目</w:t>
          </w:r>
          <w:r>
            <w:tab/>
          </w:r>
          <w:r>
            <w:rPr>
              <w:rFonts w:hint="eastAsia"/>
              <w:lang w:val="en-US" w:eastAsia="zh-CN"/>
            </w:rP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  <w:lang w:val="en-US" w:eastAsia="zh-CN"/>
            </w:rPr>
            <w:t>-10</w:t>
          </w:r>
        </w:p>
        <w:p w14:paraId="6E47906E">
          <w:pPr>
            <w:pStyle w:val="11"/>
            <w:tabs>
              <w:tab w:val="right" w:leader="dot" w:pos="8730"/>
            </w:tabs>
            <w:ind w:firstLine="640"/>
            <w:rPr>
              <w:rFonts w:hint="default" w:ascii="Times New Roman" w:hAnsi="Times New Roman" w:eastAsia="仿宋_GB2312" w:cs="Times New Roman"/>
              <w:bCs/>
              <w:szCs w:val="30"/>
              <w:lang w:val="en-US" w:eastAsia="zh-CN"/>
            </w:rPr>
          </w:pPr>
          <w:r>
            <w:rPr>
              <w:rFonts w:hint="eastAsia" w:ascii="Times New Roman" w:hAnsi="Times New Roman" w:eastAsia="宋体" w:cs="Times New Roman"/>
              <w:bCs/>
              <w:szCs w:val="30"/>
            </w:rPr>
            <w:t xml:space="preserve">    </w:t>
          </w:r>
          <w:r>
            <w:fldChar w:fldCharType="begin"/>
          </w:r>
          <w:r>
            <w:instrText xml:space="preserve"> HYPERLINK \l "_Toc17031"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</w:t>
          </w:r>
          <w:r>
            <w:rPr>
              <w:rFonts w:hint="eastAsia" w:ascii="Times New Roman" w:hAnsi="Times New Roman" w:cs="Times New Roman"/>
              <w:bCs/>
              <w:szCs w:val="32"/>
            </w:rPr>
            <w:t>二</w:t>
          </w:r>
          <w:r>
            <w:rPr>
              <w:rFonts w:ascii="Times New Roman" w:hAnsi="Times New Roman" w:cs="Times New Roman"/>
              <w:bCs/>
              <w:szCs w:val="32"/>
            </w:rPr>
            <w:t>）</w:t>
          </w:r>
          <w:r>
            <w:rPr>
              <w:rFonts w:hint="eastAsia" w:ascii="Times New Roman" w:hAnsi="Times New Roman" w:cs="Times New Roman"/>
              <w:bCs/>
              <w:szCs w:val="32"/>
            </w:rPr>
            <w:t>评判标准</w:t>
          </w:r>
          <w:r>
            <w:tab/>
          </w:r>
          <w:r>
            <w:fldChar w:fldCharType="begin"/>
          </w:r>
          <w:r>
            <w:instrText xml:space="preserve"> PAGEREF _Toc17031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  <w:r>
            <w:rPr>
              <w:rFonts w:hint="eastAsia"/>
              <w:lang w:val="en-US" w:eastAsia="zh-CN"/>
            </w:rPr>
            <w:t>-12</w:t>
          </w:r>
        </w:p>
        <w:p w14:paraId="2DF5D457">
          <w:pPr>
            <w:pStyle w:val="11"/>
            <w:tabs>
              <w:tab w:val="right" w:leader="dot" w:pos="8730"/>
            </w:tabs>
            <w:ind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"_Toc32072" </w:instrText>
          </w:r>
          <w:r>
            <w:fldChar w:fldCharType="separate"/>
          </w:r>
          <w:r>
            <w:rPr>
              <w:rFonts w:hint="eastAsia" w:ascii="Times New Roman" w:hAnsi="Times New Roman" w:eastAsia="黑体" w:cs="Times New Roman"/>
              <w:szCs w:val="32"/>
            </w:rPr>
            <w:t>七、竞赛规则</w:t>
          </w:r>
          <w:r>
            <w:tab/>
          </w:r>
          <w:r>
            <w:rPr>
              <w:rFonts w:hint="eastAsia"/>
              <w:lang w:val="en-US" w:eastAsia="zh-CN"/>
            </w:rPr>
            <w:t>1</w:t>
          </w:r>
          <w:r>
            <w:fldChar w:fldCharType="end"/>
          </w:r>
          <w:r>
            <w:rPr>
              <w:rFonts w:hint="eastAsia"/>
              <w:lang w:val="en-US" w:eastAsia="zh-CN"/>
            </w:rPr>
            <w:t>2-14</w:t>
          </w:r>
        </w:p>
        <w:p w14:paraId="7E2EE566">
          <w:pPr>
            <w:pStyle w:val="11"/>
            <w:tabs>
              <w:tab w:val="right" w:leader="dot" w:pos="8720"/>
            </w:tabs>
            <w:spacing w:line="240" w:lineRule="auto"/>
            <w:ind w:firstLine="602"/>
            <w:rPr>
              <w:rFonts w:ascii="Times New Roman" w:hAnsi="Times New Roman" w:eastAsia="宋体" w:cs="Times New Roman"/>
              <w:bCs/>
              <w:szCs w:val="30"/>
            </w:rPr>
          </w:pPr>
          <w:r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  <w:fldChar w:fldCharType="end"/>
          </w:r>
          <w:r>
            <w:fldChar w:fldCharType="begin"/>
          </w:r>
          <w:r>
            <w:instrText xml:space="preserve"> HYPERLINK \l "_Toc32072" </w:instrText>
          </w:r>
          <w:r>
            <w:fldChar w:fldCharType="separate"/>
          </w:r>
          <w:r>
            <w:rPr>
              <w:rFonts w:hint="eastAsia" w:ascii="Times New Roman" w:hAnsi="Times New Roman" w:eastAsia="黑体" w:cs="Times New Roman"/>
              <w:szCs w:val="32"/>
            </w:rPr>
            <w:t>八、赛项安全</w:t>
          </w:r>
          <w:r>
            <w:tab/>
          </w:r>
          <w:r>
            <w:fldChar w:fldCharType="begin"/>
          </w:r>
          <w:r>
            <w:instrText xml:space="preserve"> PAGEREF _Toc32072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1670E9CC">
          <w:pPr>
            <w:pStyle w:val="11"/>
            <w:tabs>
              <w:tab w:val="right" w:leader="dot" w:pos="8730"/>
            </w:tabs>
            <w:ind w:firstLine="640"/>
            <w:rPr>
              <w:rFonts w:hint="eastAsia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"_Toc32072" </w:instrText>
          </w:r>
          <w:r>
            <w:fldChar w:fldCharType="separate"/>
          </w:r>
          <w:r>
            <w:rPr>
              <w:rFonts w:hint="eastAsia" w:ascii="Times New Roman" w:hAnsi="Times New Roman" w:eastAsia="黑体" w:cs="Times New Roman"/>
              <w:szCs w:val="32"/>
            </w:rPr>
            <w:t>九、奖项设置</w:t>
          </w:r>
          <w:r>
            <w:tab/>
          </w:r>
          <w:r>
            <w:rPr>
              <w:rFonts w:hint="eastAsia"/>
              <w:lang w:val="en-US" w:eastAsia="zh-CN"/>
            </w:rPr>
            <w:t>1</w:t>
          </w:r>
          <w:r>
            <w:fldChar w:fldCharType="end"/>
          </w:r>
          <w:r>
            <w:rPr>
              <w:rFonts w:hint="eastAsia"/>
              <w:lang w:val="en-US" w:eastAsia="zh-CN"/>
            </w:rPr>
            <w:t>5</w:t>
          </w:r>
        </w:p>
        <w:p w14:paraId="6F9EAF5C">
          <w:pPr>
            <w:ind w:firstLine="640"/>
          </w:pPr>
        </w:p>
        <w:p w14:paraId="71059938">
          <w:pPr>
            <w:pStyle w:val="11"/>
            <w:tabs>
              <w:tab w:val="right" w:leader="dot" w:pos="8720"/>
            </w:tabs>
            <w:spacing w:line="240" w:lineRule="auto"/>
            <w:ind w:firstLine="643"/>
            <w:rPr>
              <w:rFonts w:ascii="Times New Roman" w:hAnsi="Times New Roman" w:cs="Times New Roman"/>
              <w:szCs w:val="32"/>
            </w:rPr>
          </w:pPr>
        </w:p>
      </w:sdtContent>
    </w:sdt>
    <w:p w14:paraId="0BD19CE9">
      <w:pPr>
        <w:ind w:firstLine="640"/>
        <w:outlineLvl w:val="0"/>
        <w:rPr>
          <w:rFonts w:ascii="Times New Roman" w:hAnsi="Times New Roman" w:eastAsia="黑体" w:cs="Times New Roman"/>
          <w:szCs w:val="32"/>
        </w:rPr>
      </w:pPr>
      <w:r>
        <w:rPr>
          <w:rFonts w:ascii="Times New Roman" w:hAnsi="Times New Roman" w:eastAsia="黑体" w:cs="Times New Roman"/>
          <w:szCs w:val="32"/>
        </w:rPr>
        <w:br w:type="page"/>
      </w:r>
      <w:bookmarkStart w:id="1" w:name="_Toc11675"/>
      <w:r>
        <w:rPr>
          <w:rFonts w:ascii="Times New Roman" w:hAnsi="Times New Roman" w:eastAsia="黑体" w:cs="Times New Roman"/>
          <w:szCs w:val="32"/>
        </w:rPr>
        <w:t>一、竞赛项目技术描述</w:t>
      </w:r>
      <w:bookmarkEnd w:id="1"/>
    </w:p>
    <w:p w14:paraId="6313DBEF">
      <w:pPr>
        <w:pStyle w:val="2"/>
        <w:spacing w:line="360" w:lineRule="auto"/>
        <w:ind w:left="0" w:firstLine="640"/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</w:pPr>
      <w:bookmarkStart w:id="2" w:name="_Toc3688"/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zh-TW" w:eastAsia="zh-TW" w:bidi="ar-SA"/>
        </w:rPr>
        <w:t>本项目依据《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插花花艺师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zh-TW" w:eastAsia="zh-TW" w:bidi="ar-SA"/>
        </w:rPr>
        <w:t>国家职业技能标准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zh-TW" w:eastAsia="zh-TW" w:bidi="ar-SA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旨在考察掌握选手关于插花花艺作品的设计创意、立体结构、色彩组合、植物搭配的认知能力、审美鉴赏能力和动手制作的技术技能水平。让竞赛成为展示宣传插花花艺技能水平的重要窗口，形成插花花艺创作精英人才培养的良好氛围，引领我市插花花艺产业健康发展，传承和弘扬中华传统文化。</w:t>
      </w:r>
    </w:p>
    <w:p w14:paraId="1807E1EC"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二、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竞赛内容</w:t>
      </w:r>
      <w:bookmarkEnd w:id="2"/>
    </w:p>
    <w:p w14:paraId="40710795">
      <w:pPr>
        <w:pStyle w:val="7"/>
        <w:kinsoku w:val="0"/>
        <w:overflowPunct w:val="0"/>
        <w:spacing w:before="12" w:line="364" w:lineRule="auto"/>
        <w:ind w:left="217" w:right="255" w:firstLine="559"/>
        <w:jc w:val="both"/>
        <w:rPr>
          <w:rFonts w:hint="default" w:ascii="Times New Roman" w:hAnsi="Times New Roman" w:eastAsia="仿宋_GB2312"/>
          <w:sz w:val="32"/>
          <w:szCs w:val="32"/>
        </w:rPr>
      </w:pPr>
      <w:bookmarkStart w:id="3" w:name="_Toc4256"/>
      <w:r>
        <w:rPr>
          <w:rFonts w:hint="default" w:ascii="Times New Roman" w:hAnsi="Times New Roman" w:eastAsia="仿宋_GB2312"/>
          <w:sz w:val="32"/>
          <w:szCs w:val="32"/>
        </w:rPr>
        <w:t>（一）赛项涵盖知识点、技能点</w:t>
      </w:r>
      <w:bookmarkEnd w:id="3"/>
      <w:r>
        <w:rPr>
          <w:rFonts w:hint="default" w:ascii="Times New Roman" w:hAnsi="Times New Roman" w:eastAsia="仿宋_GB2312"/>
          <w:sz w:val="32"/>
          <w:szCs w:val="32"/>
        </w:rPr>
        <w:t xml:space="preserve"> </w:t>
      </w:r>
    </w:p>
    <w:p w14:paraId="41656425">
      <w:pPr>
        <w:pStyle w:val="2"/>
        <w:spacing w:line="360" w:lineRule="auto"/>
        <w:ind w:left="0" w:firstLine="640"/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</w:pPr>
      <w:bookmarkStart w:id="4" w:name="_Toc28564"/>
      <w:bookmarkStart w:id="5" w:name="_Toc20218"/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结合《插花花艺师国家职业标准》，本次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职业技能竞赛内容涉及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插花花艺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基础理论、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插花花艺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相关专业理论、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插花作品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创作、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插花作品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养护、陈设与赏析等模块的知识和技能。分为理论竞赛和技能竞赛两部分，综合评定成绩。</w:t>
      </w:r>
      <w:bookmarkEnd w:id="4"/>
      <w:bookmarkEnd w:id="5"/>
    </w:p>
    <w:p w14:paraId="4AD3139E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选手在比赛过程中，应</w:t>
      </w:r>
      <w:r>
        <w:rPr>
          <w:rFonts w:hint="eastAsia" w:ascii="Times New Roman" w:hAnsi="Times New Roman" w:cs="Times New Roman"/>
          <w:lang w:val="en-US" w:eastAsia="zh-CN"/>
        </w:rPr>
        <w:t>模范</w:t>
      </w:r>
      <w:r>
        <w:rPr>
          <w:rFonts w:ascii="Times New Roman" w:hAnsi="Times New Roman" w:cs="Times New Roman"/>
        </w:rPr>
        <w:t>遵循行业职业道德、安全守则和相关法律法规。</w:t>
      </w:r>
    </w:p>
    <w:p w14:paraId="240171A2">
      <w:pPr>
        <w:ind w:firstLine="643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Cs w:val="32"/>
          <w:lang w:bidi="ar"/>
        </w:rPr>
        <w:br w:type="page"/>
      </w:r>
    </w:p>
    <w:p w14:paraId="0219883B">
      <w:pPr>
        <w:widowControl/>
        <w:overflowPunct w:val="0"/>
        <w:topLinePunct/>
        <w:spacing w:line="360" w:lineRule="auto"/>
        <w:ind w:firstLine="0" w:firstLineChars="0"/>
        <w:jc w:val="center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表1  工作要求知识和能力表</w:t>
      </w:r>
    </w:p>
    <w:tbl>
      <w:tblPr>
        <w:tblStyle w:val="17"/>
        <w:tblW w:w="8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7184"/>
        <w:gridCol w:w="805"/>
      </w:tblGrid>
      <w:tr w14:paraId="1205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8040" w:type="dxa"/>
            <w:gridSpan w:val="2"/>
            <w:vAlign w:val="center"/>
          </w:tcPr>
          <w:p w14:paraId="6EB78EFF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2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相关要求</w:t>
            </w:r>
          </w:p>
        </w:tc>
        <w:tc>
          <w:tcPr>
            <w:tcW w:w="805" w:type="dxa"/>
          </w:tcPr>
          <w:p w14:paraId="35412599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权重</w:t>
            </w:r>
          </w:p>
          <w:p w14:paraId="17AB30AB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比例</w:t>
            </w:r>
          </w:p>
          <w:p w14:paraId="4C5DE57B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（%）</w:t>
            </w:r>
          </w:p>
        </w:tc>
      </w:tr>
      <w:tr w14:paraId="7B8A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56" w:type="dxa"/>
            <w:shd w:val="clear" w:color="auto" w:fill="F8CCAB" w:themeFill="accent2" w:themeFillTint="66"/>
            <w:vAlign w:val="center"/>
          </w:tcPr>
          <w:p w14:paraId="05D6D990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一</w:t>
            </w:r>
          </w:p>
        </w:tc>
        <w:tc>
          <w:tcPr>
            <w:tcW w:w="7184" w:type="dxa"/>
            <w:shd w:val="clear" w:color="auto" w:fill="F8CCAB" w:themeFill="accent2" w:themeFillTint="66"/>
            <w:vAlign w:val="center"/>
          </w:tcPr>
          <w:p w14:paraId="46291C55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</w:rPr>
              <w:t>工作组织与管理</w:t>
            </w:r>
          </w:p>
        </w:tc>
        <w:tc>
          <w:tcPr>
            <w:tcW w:w="805" w:type="dxa"/>
            <w:vMerge w:val="restart"/>
            <w:shd w:val="clear" w:color="auto" w:fill="auto"/>
            <w:vAlign w:val="center"/>
          </w:tcPr>
          <w:p w14:paraId="52715CE6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2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14:paraId="0AE28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</w:trPr>
        <w:tc>
          <w:tcPr>
            <w:tcW w:w="856" w:type="dxa"/>
            <w:vAlign w:val="center"/>
          </w:tcPr>
          <w:p w14:paraId="12E777EA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基本</w:t>
            </w:r>
          </w:p>
          <w:p w14:paraId="05894748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知识</w:t>
            </w:r>
          </w:p>
        </w:tc>
        <w:tc>
          <w:tcPr>
            <w:tcW w:w="7184" w:type="dxa"/>
          </w:tcPr>
          <w:p w14:paraId="513522E7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了解插花花艺行业的范围和特点，以及其他职业和花艺业的相互影</w:t>
            </w:r>
            <w:r>
              <w:rPr>
                <w:rFonts w:hint="eastAsia" w:ascii="仿宋" w:hAnsi="仿宋" w:eastAsia="仿宋" w:cs="仿宋"/>
                <w:spacing w:val="-10"/>
                <w:sz w:val="24"/>
                <w:szCs w:val="24"/>
              </w:rPr>
              <w:t>响</w:t>
            </w:r>
            <w:r>
              <w:rPr>
                <w:rFonts w:hint="eastAsia" w:hAnsi="仿宋" w:cs="仿宋"/>
                <w:spacing w:val="-10"/>
                <w:sz w:val="24"/>
                <w:szCs w:val="24"/>
                <w:lang w:eastAsia="zh-CN"/>
              </w:rPr>
              <w:t>；</w:t>
            </w:r>
          </w:p>
          <w:p w14:paraId="5729E54A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spacing w:val="-1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掌握花艺设计的原则和要素</w:t>
            </w:r>
            <w:r>
              <w:rPr>
                <w:rFonts w:hint="eastAsia" w:hAnsi="仿宋" w:cs="仿宋"/>
                <w:spacing w:val="-1"/>
                <w:sz w:val="24"/>
                <w:szCs w:val="24"/>
                <w:lang w:eastAsia="zh-CN"/>
              </w:rPr>
              <w:t>；</w:t>
            </w:r>
          </w:p>
          <w:p w14:paraId="0134CD1E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spacing w:val="-1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深谙行业工作组织程序并明白轻重缓急的重要性</w:t>
            </w:r>
            <w:r>
              <w:rPr>
                <w:rFonts w:hint="eastAsia" w:hAnsi="仿宋" w:cs="仿宋"/>
                <w:spacing w:val="-1"/>
                <w:sz w:val="24"/>
                <w:szCs w:val="24"/>
                <w:lang w:eastAsia="zh-CN"/>
              </w:rPr>
              <w:t>；</w:t>
            </w:r>
          </w:p>
          <w:p w14:paraId="24E09D68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spacing w:val="-1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学会时间管理</w:t>
            </w:r>
            <w:r>
              <w:rPr>
                <w:rFonts w:hint="eastAsia" w:hAnsi="仿宋" w:cs="仿宋"/>
                <w:spacing w:val="-2"/>
                <w:sz w:val="24"/>
                <w:szCs w:val="24"/>
                <w:lang w:eastAsia="zh-CN"/>
              </w:rPr>
              <w:t>；</w:t>
            </w:r>
          </w:p>
          <w:p w14:paraId="706B1129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spacing w:val="-2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在工作实践中会最大限度地减少浪费和降低成本</w:t>
            </w:r>
            <w:r>
              <w:rPr>
                <w:rFonts w:hint="eastAsia" w:hAnsi="仿宋" w:cs="仿宋"/>
                <w:spacing w:val="-1"/>
                <w:sz w:val="24"/>
                <w:szCs w:val="24"/>
                <w:lang w:eastAsia="zh-CN"/>
              </w:rPr>
              <w:t>；</w:t>
            </w:r>
          </w:p>
          <w:p w14:paraId="57D6CEDF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hAnsi="仿宋" w:cs="仿宋"/>
                <w:spacing w:val="-1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花艺行业的可持续发展</w:t>
            </w:r>
            <w:r>
              <w:rPr>
                <w:rFonts w:hint="eastAsia" w:hAnsi="仿宋" w:cs="仿宋"/>
                <w:spacing w:val="-1"/>
                <w:sz w:val="24"/>
                <w:szCs w:val="24"/>
                <w:lang w:eastAsia="zh-CN"/>
              </w:rPr>
              <w:t>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‌‌</w:t>
            </w:r>
          </w:p>
        </w:tc>
        <w:tc>
          <w:tcPr>
            <w:tcW w:w="805" w:type="dxa"/>
            <w:vMerge w:val="continue"/>
          </w:tcPr>
          <w:p w14:paraId="430AF38B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0"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ABE1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7" w:hRule="atLeast"/>
        </w:trPr>
        <w:tc>
          <w:tcPr>
            <w:tcW w:w="856" w:type="dxa"/>
            <w:vAlign w:val="center"/>
          </w:tcPr>
          <w:p w14:paraId="5D8CC433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工作</w:t>
            </w:r>
          </w:p>
          <w:p w14:paraId="2106FC90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能力</w:t>
            </w:r>
          </w:p>
        </w:tc>
        <w:tc>
          <w:tcPr>
            <w:tcW w:w="7184" w:type="dxa"/>
            <w:vAlign w:val="center"/>
          </w:tcPr>
          <w:p w14:paraId="17D4E2E7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1、具有创造性、艺术性、创新性，并善用资源；</w:t>
            </w:r>
          </w:p>
          <w:p w14:paraId="301F3F03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2、积极灵活地应对变化的环境；</w:t>
            </w:r>
          </w:p>
          <w:p w14:paraId="58213B55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3、拥有足够的行业技术和理论知识；</w:t>
            </w:r>
          </w:p>
          <w:p w14:paraId="7DC50ECB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4、保持持续的专业发展，了解当前行业的趋势、 新的理念、风格和新材料；</w:t>
            </w:r>
          </w:p>
          <w:p w14:paraId="4FB8B5DE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5、具有尝试新方法并直面变革的意愿；</w:t>
            </w:r>
          </w:p>
          <w:p w14:paraId="25E003CA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6、有效地规划和组织工作，最充分利用现有资源；</w:t>
            </w:r>
          </w:p>
          <w:p w14:paraId="39F73884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7、能策划不同规模和复杂程度的项目；</w:t>
            </w:r>
          </w:p>
          <w:p w14:paraId="52C72D80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8、在规定时间内按时完成工作，达到预期目标；</w:t>
            </w:r>
          </w:p>
          <w:p w14:paraId="003D7EE6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9、能开展高效工作，在工作方法上表现出高度的自主性；</w:t>
            </w:r>
          </w:p>
        </w:tc>
        <w:tc>
          <w:tcPr>
            <w:tcW w:w="805" w:type="dxa"/>
            <w:vMerge w:val="continue"/>
          </w:tcPr>
          <w:p w14:paraId="54A9FC80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0"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5921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6" w:type="dxa"/>
            <w:shd w:val="clear" w:color="auto" w:fill="F8CCAB" w:themeFill="accent2" w:themeFillTint="66"/>
            <w:vAlign w:val="center"/>
          </w:tcPr>
          <w:p w14:paraId="6E79EE86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二</w:t>
            </w:r>
          </w:p>
        </w:tc>
        <w:tc>
          <w:tcPr>
            <w:tcW w:w="7184" w:type="dxa"/>
            <w:shd w:val="clear" w:color="auto" w:fill="F8CCAB" w:themeFill="accent2" w:themeFillTint="66"/>
            <w:vAlign w:val="center"/>
          </w:tcPr>
          <w:p w14:paraId="07528945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2"/>
                <w:sz w:val="24"/>
                <w:szCs w:val="24"/>
                <w:shd w:val="clear" w:color="auto" w:fill="auto"/>
              </w:rPr>
              <w:t>材料和工具</w:t>
            </w:r>
          </w:p>
        </w:tc>
        <w:tc>
          <w:tcPr>
            <w:tcW w:w="805" w:type="dxa"/>
            <w:vMerge w:val="restart"/>
            <w:shd w:val="clear" w:color="auto" w:fill="auto"/>
            <w:vAlign w:val="center"/>
          </w:tcPr>
          <w:p w14:paraId="6D049CDE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2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14:paraId="1A30C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Align w:val="center"/>
          </w:tcPr>
          <w:p w14:paraId="54F65CAC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基本</w:t>
            </w:r>
          </w:p>
          <w:p w14:paraId="07F44B8F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知识</w:t>
            </w:r>
          </w:p>
        </w:tc>
        <w:tc>
          <w:tcPr>
            <w:tcW w:w="7184" w:type="dxa"/>
          </w:tcPr>
          <w:p w14:paraId="2CAAEDFC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1、了解植物材料的特点;</w:t>
            </w:r>
          </w:p>
          <w:p w14:paraId="69125293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2、掌握所有花艺材料的正确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drawing>
                <wp:inline distT="0" distB="0" distL="0" distR="0">
                  <wp:extent cx="114300" cy="146050"/>
                  <wp:effectExtent l="0" t="0" r="0" b="6350"/>
                  <wp:docPr id="1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称</w:t>
            </w:r>
          </w:p>
          <w:p w14:paraId="3478ABD2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3、掌握花艺材料保存要求;</w:t>
            </w:r>
          </w:p>
          <w:p w14:paraId="146477E0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4、正确处理且最恰当地应用与题目相关的材料;</w:t>
            </w:r>
          </w:p>
          <w:p w14:paraId="733C95EC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5、具有植物材料的采后保鲜知识，</w:t>
            </w:r>
          </w:p>
          <w:p w14:paraId="6D578505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6、了解保存鲜切花和植物的方法；</w:t>
            </w:r>
          </w:p>
          <w:p w14:paraId="5196F6F1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7、植物和植物材料的季节性;</w:t>
            </w:r>
          </w:p>
          <w:p w14:paraId="278C6B92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8、花艺使用的工具和设备；</w:t>
            </w:r>
          </w:p>
          <w:p w14:paraId="3A73E992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ascii="Times New Roman" w:hAnsi="Times New Roman" w:eastAsia="微软雅黑" w:cs="Times New Roman"/>
                <w:spacing w:val="-14"/>
                <w:sz w:val="17"/>
                <w:szCs w:val="17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9、了解每项技术采用的工具并知道工具应用方法；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‌</w:t>
            </w:r>
          </w:p>
        </w:tc>
        <w:tc>
          <w:tcPr>
            <w:tcW w:w="805" w:type="dxa"/>
            <w:vMerge w:val="continue"/>
          </w:tcPr>
          <w:p w14:paraId="3407C3DB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0"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743EB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Align w:val="center"/>
          </w:tcPr>
          <w:p w14:paraId="6B6EB3A8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工作</w:t>
            </w:r>
          </w:p>
          <w:p w14:paraId="679F705D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能力</w:t>
            </w:r>
          </w:p>
        </w:tc>
        <w:tc>
          <w:tcPr>
            <w:tcW w:w="7184" w:type="dxa"/>
            <w:vAlign w:val="center"/>
          </w:tcPr>
          <w:p w14:paraId="2D31CEE4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1、用相应的采后保鲜措施处理所有植物材料；</w:t>
            </w:r>
          </w:p>
          <w:p w14:paraId="6ADACCBA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2、能调整植物材料状况并准备用于设计工作中；</w:t>
            </w:r>
          </w:p>
          <w:p w14:paraId="66ECFBD8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3、保持植物材料的状况；</w:t>
            </w:r>
          </w:p>
          <w:p w14:paraId="7333C586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4、使植物材料保持正确的温度；</w:t>
            </w:r>
          </w:p>
          <w:p w14:paraId="4F9C4334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5、妥善保管与作品有关的所有材料，包括容器、辅材等以及设计中用到的其他材料，选择与使用和作品相关的工具和设备；</w:t>
            </w:r>
          </w:p>
        </w:tc>
        <w:tc>
          <w:tcPr>
            <w:tcW w:w="805" w:type="dxa"/>
          </w:tcPr>
          <w:p w14:paraId="313B8A18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0"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6B4F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56" w:type="dxa"/>
            <w:shd w:val="clear" w:color="auto" w:fill="F8CCAB" w:themeFill="accent2" w:themeFillTint="66"/>
            <w:vAlign w:val="center"/>
          </w:tcPr>
          <w:p w14:paraId="38D721F3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三</w:t>
            </w:r>
          </w:p>
        </w:tc>
        <w:tc>
          <w:tcPr>
            <w:tcW w:w="7184" w:type="dxa"/>
            <w:shd w:val="clear" w:color="auto" w:fill="F8CCAB" w:themeFill="accent2" w:themeFillTint="66"/>
            <w:vAlign w:val="center"/>
          </w:tcPr>
          <w:p w14:paraId="2826A937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2"/>
                <w:sz w:val="24"/>
                <w:szCs w:val="24"/>
              </w:rPr>
              <w:t>花艺设计基础</w:t>
            </w:r>
          </w:p>
        </w:tc>
        <w:tc>
          <w:tcPr>
            <w:tcW w:w="805" w:type="dxa"/>
            <w:vMerge w:val="restart"/>
            <w:shd w:val="clear" w:color="auto" w:fill="auto"/>
            <w:vAlign w:val="center"/>
          </w:tcPr>
          <w:p w14:paraId="28729A23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2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14:paraId="42755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856" w:type="dxa"/>
            <w:vAlign w:val="center"/>
          </w:tcPr>
          <w:p w14:paraId="2A30907C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基本</w:t>
            </w:r>
          </w:p>
          <w:p w14:paraId="03AE3D82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知识</w:t>
            </w:r>
          </w:p>
        </w:tc>
        <w:tc>
          <w:tcPr>
            <w:tcW w:w="7184" w:type="dxa"/>
          </w:tcPr>
          <w:p w14:paraId="45096D37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1、构图、色彩、设计和技术方面的理论；</w:t>
            </w:r>
          </w:p>
          <w:p w14:paraId="15AFB624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2、花艺主题的理念诠释；</w:t>
            </w:r>
          </w:p>
          <w:p w14:paraId="10EB50C8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3、花艺设计目前的流行趋势和时尚要求；</w:t>
            </w:r>
          </w:p>
          <w:p w14:paraId="2E86C9FF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4、花艺设计与实际环境相得益彰的重要性；</w:t>
            </w:r>
          </w:p>
          <w:p w14:paraId="3F0CE006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5、文化差异对花艺的重大影响，各种礼仪活动的文化背景；</w:t>
            </w:r>
          </w:p>
        </w:tc>
        <w:tc>
          <w:tcPr>
            <w:tcW w:w="805" w:type="dxa"/>
            <w:vMerge w:val="continue"/>
          </w:tcPr>
          <w:p w14:paraId="29F7481F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0"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7D365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</w:trPr>
        <w:tc>
          <w:tcPr>
            <w:tcW w:w="856" w:type="dxa"/>
            <w:vAlign w:val="center"/>
          </w:tcPr>
          <w:p w14:paraId="13C6F666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工作</w:t>
            </w:r>
          </w:p>
          <w:p w14:paraId="45B93936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能力</w:t>
            </w:r>
          </w:p>
        </w:tc>
        <w:tc>
          <w:tcPr>
            <w:tcW w:w="7184" w:type="dxa"/>
            <w:vAlign w:val="center"/>
          </w:tcPr>
          <w:p w14:paraId="1CF0DDC1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1、解析花艺项目简介；</w:t>
            </w:r>
          </w:p>
          <w:p w14:paraId="5BB42C61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2、设计中应用花艺作品设计要素与原则；</w:t>
            </w:r>
          </w:p>
          <w:p w14:paraId="31A4495F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3、确保植物材料在设计中占主导地位；</w:t>
            </w:r>
          </w:p>
          <w:p w14:paraId="534D4D87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4、有计划的为作品选择植物材料、容器、技术工具、材料和装饰件；</w:t>
            </w:r>
          </w:p>
          <w:p w14:paraId="40D55D23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5、创作体现某个主题的花艺设计作品；</w:t>
            </w:r>
          </w:p>
          <w:p w14:paraId="1D341CCA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6、创作适合不同场合的花艺设计作品；</w:t>
            </w:r>
          </w:p>
          <w:p w14:paraId="357281FA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7、创作适合不同摆放环境的花艺设计作品；</w:t>
            </w:r>
          </w:p>
          <w:p w14:paraId="10355884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8、创作传统或现代应用花艺设计、通过设计传达感情和讯息；</w:t>
            </w:r>
          </w:p>
        </w:tc>
        <w:tc>
          <w:tcPr>
            <w:tcW w:w="805" w:type="dxa"/>
          </w:tcPr>
          <w:p w14:paraId="720196F1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0"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E43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856" w:type="dxa"/>
            <w:shd w:val="clear" w:color="auto" w:fill="F8CCAB" w:themeFill="accent2" w:themeFillTint="66"/>
          </w:tcPr>
          <w:p w14:paraId="46728CC1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四</w:t>
            </w:r>
          </w:p>
        </w:tc>
        <w:tc>
          <w:tcPr>
            <w:tcW w:w="7184" w:type="dxa"/>
            <w:shd w:val="clear" w:color="auto" w:fill="F8CCAB" w:themeFill="accent2" w:themeFillTint="66"/>
          </w:tcPr>
          <w:p w14:paraId="58EB1645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中国传统插花</w:t>
            </w:r>
          </w:p>
        </w:tc>
        <w:tc>
          <w:tcPr>
            <w:tcW w:w="805" w:type="dxa"/>
            <w:vMerge w:val="restart"/>
            <w:shd w:val="clear" w:color="auto" w:fill="auto"/>
          </w:tcPr>
          <w:p w14:paraId="738D0DAC">
            <w:pPr>
              <w:ind w:firstLine="480"/>
              <w:rPr>
                <w:rFonts w:ascii="仿宋" w:hAnsi="仿宋" w:eastAsia="仿宋" w:cs="仿宋"/>
                <w:sz w:val="24"/>
              </w:rPr>
            </w:pPr>
          </w:p>
        </w:tc>
      </w:tr>
      <w:tr w14:paraId="0CA33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</w:trPr>
        <w:tc>
          <w:tcPr>
            <w:tcW w:w="856" w:type="dxa"/>
            <w:vAlign w:val="center"/>
          </w:tcPr>
          <w:p w14:paraId="5C8D5A66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基本</w:t>
            </w:r>
          </w:p>
          <w:p w14:paraId="106D1FD6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知识</w:t>
            </w:r>
          </w:p>
        </w:tc>
        <w:tc>
          <w:tcPr>
            <w:tcW w:w="7184" w:type="dxa"/>
          </w:tcPr>
          <w:p w14:paraId="63BC5A8F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1、中国传统插花的艺术风格、构图原理、创作方法，实现意境美的创作特色；</w:t>
            </w:r>
          </w:p>
          <w:p w14:paraId="4B47BA7B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2、中国传统插花类型：瓶花、盘花、筒花、碗花、篮花、缸花；</w:t>
            </w:r>
          </w:p>
          <w:p w14:paraId="50198B7E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3、中国传统插花的花型：直立、倾斜、下垂、水平等类型；</w:t>
            </w:r>
          </w:p>
          <w:p w14:paraId="43B44A4F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4、中国传统插花的制作花器、几架、工具等；</w:t>
            </w:r>
          </w:p>
          <w:p w14:paraId="088DCFF1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5、中国传统用花礼仪与花文化；</w:t>
            </w:r>
          </w:p>
        </w:tc>
        <w:tc>
          <w:tcPr>
            <w:tcW w:w="805" w:type="dxa"/>
            <w:vMerge w:val="continue"/>
          </w:tcPr>
          <w:p w14:paraId="7D145F39">
            <w:pPr>
              <w:ind w:firstLine="480"/>
              <w:rPr>
                <w:rFonts w:ascii="仿宋" w:hAnsi="仿宋" w:eastAsia="仿宋" w:cs="仿宋"/>
                <w:sz w:val="24"/>
              </w:rPr>
            </w:pPr>
          </w:p>
        </w:tc>
      </w:tr>
      <w:tr w14:paraId="778A1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Align w:val="center"/>
          </w:tcPr>
          <w:p w14:paraId="705A431D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</w:t>
            </w:r>
          </w:p>
          <w:p w14:paraId="07271193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能力</w:t>
            </w:r>
          </w:p>
        </w:tc>
        <w:tc>
          <w:tcPr>
            <w:tcW w:w="7184" w:type="dxa"/>
          </w:tcPr>
          <w:p w14:paraId="7775CBDC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1、制作中国传统插花瓶花、盘花、筒花、碗花、篮花、缸花；</w:t>
            </w:r>
          </w:p>
          <w:p w14:paraId="1854E853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2、节气、节日、植物、宗教等主题的中国传统插花作品装饰与布置要求；</w:t>
            </w:r>
          </w:p>
          <w:p w14:paraId="4524BD2A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3、创作中式婚礼场合的中国传统插花作品装饰与布置；</w:t>
            </w:r>
          </w:p>
          <w:p w14:paraId="77CD3DBE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4、中国传统插花的植物材料的造型、固定、保鲜方法；</w:t>
            </w:r>
          </w:p>
        </w:tc>
        <w:tc>
          <w:tcPr>
            <w:tcW w:w="805" w:type="dxa"/>
            <w:vMerge w:val="continue"/>
          </w:tcPr>
          <w:p w14:paraId="02D9D986">
            <w:pPr>
              <w:ind w:firstLine="480"/>
              <w:rPr>
                <w:rFonts w:ascii="仿宋" w:hAnsi="仿宋" w:eastAsia="仿宋" w:cs="仿宋"/>
                <w:sz w:val="24"/>
              </w:rPr>
            </w:pPr>
          </w:p>
        </w:tc>
      </w:tr>
      <w:tr w14:paraId="3F3EB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56" w:type="dxa"/>
            <w:shd w:val="clear" w:color="auto" w:fill="F8CCAB" w:themeFill="accent2" w:themeFillTint="66"/>
          </w:tcPr>
          <w:p w14:paraId="30A191CE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五</w:t>
            </w:r>
          </w:p>
        </w:tc>
        <w:tc>
          <w:tcPr>
            <w:tcW w:w="7184" w:type="dxa"/>
            <w:shd w:val="clear" w:color="auto" w:fill="F8CCAB" w:themeFill="accent2" w:themeFillTint="66"/>
            <w:vAlign w:val="center"/>
          </w:tcPr>
          <w:p w14:paraId="1A490A26"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特别委托制作的花艺作品</w:t>
            </w:r>
          </w:p>
        </w:tc>
        <w:tc>
          <w:tcPr>
            <w:tcW w:w="805" w:type="dxa"/>
            <w:vMerge w:val="restart"/>
            <w:shd w:val="clear" w:color="auto" w:fill="auto"/>
          </w:tcPr>
          <w:p w14:paraId="61245E0D">
            <w:pPr>
              <w:ind w:firstLine="480"/>
              <w:rPr>
                <w:rFonts w:ascii="仿宋" w:hAnsi="仿宋" w:eastAsia="仿宋" w:cs="仿宋"/>
                <w:sz w:val="24"/>
              </w:rPr>
            </w:pPr>
          </w:p>
        </w:tc>
      </w:tr>
      <w:tr w14:paraId="55A5C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Align w:val="center"/>
          </w:tcPr>
          <w:p w14:paraId="3F2A88BB">
            <w:pPr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基本</w:t>
            </w:r>
          </w:p>
          <w:p w14:paraId="33BE0F1B">
            <w:pPr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知识</w:t>
            </w:r>
          </w:p>
        </w:tc>
        <w:tc>
          <w:tcPr>
            <w:tcW w:w="7184" w:type="dxa"/>
            <w:shd w:val="clear" w:color="auto" w:fill="auto"/>
          </w:tcPr>
          <w:p w14:paraId="212FD052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特别委托制作作品的相关知识；‌</w:t>
            </w:r>
          </w:p>
        </w:tc>
        <w:tc>
          <w:tcPr>
            <w:tcW w:w="805" w:type="dxa"/>
            <w:vMerge w:val="continue"/>
          </w:tcPr>
          <w:p w14:paraId="0EF94F2A">
            <w:pPr>
              <w:ind w:firstLine="480"/>
              <w:rPr>
                <w:rFonts w:ascii="仿宋" w:hAnsi="仿宋" w:eastAsia="仿宋" w:cs="仿宋"/>
                <w:sz w:val="24"/>
              </w:rPr>
            </w:pPr>
          </w:p>
        </w:tc>
      </w:tr>
      <w:tr w14:paraId="0AB5A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Align w:val="center"/>
          </w:tcPr>
          <w:p w14:paraId="150F2DC4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</w:t>
            </w:r>
          </w:p>
          <w:p w14:paraId="13237C57"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能力</w:t>
            </w:r>
          </w:p>
        </w:tc>
        <w:tc>
          <w:tcPr>
            <w:tcW w:w="7184" w:type="dxa"/>
            <w:shd w:val="clear" w:color="auto" w:fill="auto"/>
            <w:vAlign w:val="center"/>
          </w:tcPr>
          <w:p w14:paraId="5213A8F6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1、理解委托项目的简介，确定委托项目的要求、主题和花艺设计；</w:t>
            </w:r>
          </w:p>
          <w:p w14:paraId="67124622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2、根据项目简介来创作花艺设计作品；</w:t>
            </w:r>
          </w:p>
          <w:p w14:paraId="63C37F11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3、创作并监督委托制作花艺作品布置，保证作品质量达到卓越标准；</w:t>
            </w:r>
          </w:p>
          <w:p w14:paraId="6092010F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4、确保特别委托的作品在特殊和高端环境的压力下能正常发挥；‌</w:t>
            </w:r>
          </w:p>
          <w:p w14:paraId="146FBAE1"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5、能够对‌盆景作品进行讲解介绍。</w:t>
            </w:r>
          </w:p>
        </w:tc>
        <w:tc>
          <w:tcPr>
            <w:tcW w:w="805" w:type="dxa"/>
            <w:vMerge w:val="continue"/>
          </w:tcPr>
          <w:p w14:paraId="2B906A00">
            <w:pPr>
              <w:ind w:firstLine="480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4C79A8C9">
      <w:pPr>
        <w:pStyle w:val="3"/>
        <w:spacing w:beforeAutospacing="0" w:afterAutospacing="0" w:line="240" w:lineRule="auto"/>
        <w:ind w:firstLine="0" w:firstLineChars="0"/>
        <w:rPr>
          <w:rFonts w:hint="default" w:ascii="Times New Roman" w:hAnsi="Times New Roman" w:eastAsia="仿宋_GB2312"/>
          <w:sz w:val="32"/>
          <w:szCs w:val="32"/>
        </w:rPr>
      </w:pPr>
    </w:p>
    <w:p w14:paraId="2B1C11BD"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  <w:bookmarkStart w:id="6" w:name="_Toc1803"/>
      <w:r>
        <w:rPr>
          <w:rFonts w:hint="default" w:ascii="Times New Roman" w:hAnsi="Times New Roman" w:eastAsia="仿宋_GB2312"/>
          <w:sz w:val="32"/>
          <w:szCs w:val="32"/>
        </w:rPr>
        <w:t>（二）竞赛赛制</w:t>
      </w:r>
      <w:bookmarkEnd w:id="6"/>
    </w:p>
    <w:p w14:paraId="61813F16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园林绿化</w:t>
      </w:r>
      <w:r>
        <w:rPr>
          <w:rFonts w:hint="eastAsia" w:ascii="Times New Roman" w:hAnsi="Times New Roman" w:cs="Times New Roman"/>
        </w:rPr>
        <w:t>行业</w:t>
      </w:r>
      <w:r>
        <w:rPr>
          <w:rFonts w:hint="eastAsia" w:ascii="Times New Roman" w:hAnsi="Times New Roman" w:cs="Times New Roman"/>
          <w:lang w:val="en-US" w:eastAsia="zh-CN"/>
        </w:rPr>
        <w:t>插花花艺师</w:t>
      </w:r>
      <w:r>
        <w:rPr>
          <w:rFonts w:ascii="Times New Roman" w:hAnsi="Times New Roman" w:cs="Times New Roman"/>
        </w:rPr>
        <w:t>职业技能竞赛</w:t>
      </w:r>
      <w:r>
        <w:rPr>
          <w:rFonts w:hint="eastAsia" w:ascii="Times New Roman" w:hAnsi="Times New Roman" w:cs="Times New Roman"/>
        </w:rPr>
        <w:t>采用单人竞赛模式，</w:t>
      </w:r>
      <w:r>
        <w:rPr>
          <w:rFonts w:ascii="Times New Roman" w:hAnsi="Times New Roman" w:cs="Times New Roman"/>
        </w:rPr>
        <w:t>包括</w:t>
      </w:r>
      <w:r>
        <w:rPr>
          <w:rFonts w:ascii="Times New Roman" w:hAnsi="Times New Roman" w:cs="Times New Roman"/>
          <w:szCs w:val="32"/>
        </w:rPr>
        <w:t>理论</w:t>
      </w:r>
      <w:r>
        <w:rPr>
          <w:rFonts w:hint="eastAsia" w:ascii="Times New Roman" w:hAnsi="Times New Roman" w:cs="Times New Roman"/>
          <w:szCs w:val="32"/>
        </w:rPr>
        <w:t>竞赛</w:t>
      </w:r>
      <w:r>
        <w:rPr>
          <w:rFonts w:ascii="Times New Roman" w:hAnsi="Times New Roman" w:cs="Times New Roman"/>
          <w:szCs w:val="32"/>
        </w:rPr>
        <w:t>和</w:t>
      </w:r>
      <w:r>
        <w:rPr>
          <w:rFonts w:hint="eastAsia" w:ascii="Times New Roman" w:hAnsi="Times New Roman" w:cs="Times New Roman"/>
          <w:szCs w:val="32"/>
        </w:rPr>
        <w:t>技能竞赛</w:t>
      </w:r>
      <w:r>
        <w:rPr>
          <w:rFonts w:ascii="Times New Roman" w:hAnsi="Times New Roman" w:cs="Times New Roman"/>
        </w:rPr>
        <w:t xml:space="preserve">两个竞赛模块。 </w:t>
      </w:r>
    </w:p>
    <w:p w14:paraId="7E7D1BC3">
      <w:pPr>
        <w:widowControl/>
        <w:overflowPunct w:val="0"/>
        <w:topLinePunct/>
        <w:spacing w:line="360" w:lineRule="auto"/>
        <w:ind w:firstLine="0" w:firstLineChars="0"/>
        <w:jc w:val="center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</w:p>
    <w:p w14:paraId="5AB03A15">
      <w:pPr>
        <w:widowControl/>
        <w:overflowPunct w:val="0"/>
        <w:topLinePunct/>
        <w:spacing w:line="360" w:lineRule="auto"/>
        <w:ind w:firstLine="0" w:firstLineChars="0"/>
        <w:jc w:val="center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表2  赛项设置模块时间分配</w:t>
      </w:r>
    </w:p>
    <w:tbl>
      <w:tblPr>
        <w:tblStyle w:val="17"/>
        <w:tblpPr w:leftFromText="180" w:rightFromText="180" w:vertAnchor="text" w:horzAnchor="page" w:tblpX="1741" w:tblpY="2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124"/>
        <w:gridCol w:w="2268"/>
        <w:gridCol w:w="851"/>
        <w:gridCol w:w="850"/>
        <w:gridCol w:w="1355"/>
      </w:tblGrid>
      <w:tr w14:paraId="5DD78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48" w:type="dxa"/>
            <w:vAlign w:val="center"/>
          </w:tcPr>
          <w:p w14:paraId="5346FBF7">
            <w:pPr>
              <w:widowControl/>
              <w:overflowPunct w:val="0"/>
              <w:topLinePunct/>
              <w:spacing w:line="4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模块</w:t>
            </w:r>
          </w:p>
        </w:tc>
        <w:tc>
          <w:tcPr>
            <w:tcW w:w="2124" w:type="dxa"/>
            <w:vAlign w:val="center"/>
          </w:tcPr>
          <w:p w14:paraId="1B8B0656">
            <w:pPr>
              <w:widowControl/>
              <w:overflowPunct w:val="0"/>
              <w:topLinePunct/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竞赛内容</w:t>
            </w:r>
          </w:p>
        </w:tc>
        <w:tc>
          <w:tcPr>
            <w:tcW w:w="2268" w:type="dxa"/>
            <w:vAlign w:val="center"/>
          </w:tcPr>
          <w:p w14:paraId="339B5B57">
            <w:pPr>
              <w:widowControl/>
              <w:overflowPunct w:val="0"/>
              <w:topLinePunct/>
              <w:spacing w:line="36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竞赛时间（分）</w:t>
            </w:r>
          </w:p>
        </w:tc>
        <w:tc>
          <w:tcPr>
            <w:tcW w:w="851" w:type="dxa"/>
            <w:vAlign w:val="center"/>
          </w:tcPr>
          <w:p w14:paraId="66158C57">
            <w:pPr>
              <w:widowControl/>
              <w:overflowPunct w:val="0"/>
              <w:topLinePunct/>
              <w:spacing w:line="36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850" w:type="dxa"/>
            <w:vAlign w:val="center"/>
          </w:tcPr>
          <w:p w14:paraId="7A078E70">
            <w:pPr>
              <w:widowControl/>
              <w:overflowPunct w:val="0"/>
              <w:topLinePunct/>
              <w:spacing w:line="36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比重</w:t>
            </w:r>
          </w:p>
        </w:tc>
        <w:tc>
          <w:tcPr>
            <w:tcW w:w="1355" w:type="dxa"/>
            <w:vAlign w:val="center"/>
          </w:tcPr>
          <w:p w14:paraId="3383E99A">
            <w:pPr>
              <w:widowControl/>
              <w:overflowPunct w:val="0"/>
              <w:topLinePunct/>
              <w:spacing w:line="36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D9F4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8" w:type="dxa"/>
            <w:vAlign w:val="center"/>
          </w:tcPr>
          <w:p w14:paraId="5360F466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理论</w:t>
            </w:r>
          </w:p>
        </w:tc>
        <w:tc>
          <w:tcPr>
            <w:tcW w:w="2124" w:type="dxa"/>
            <w:vAlign w:val="bottom"/>
          </w:tcPr>
          <w:p w14:paraId="268B7B85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插花花艺</w:t>
            </w: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相关理论知识考试</w:t>
            </w:r>
          </w:p>
        </w:tc>
        <w:tc>
          <w:tcPr>
            <w:tcW w:w="2268" w:type="dxa"/>
            <w:vAlign w:val="center"/>
          </w:tcPr>
          <w:p w14:paraId="782B8715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90 分钟</w:t>
            </w:r>
          </w:p>
        </w:tc>
        <w:tc>
          <w:tcPr>
            <w:tcW w:w="851" w:type="dxa"/>
            <w:vAlign w:val="center"/>
          </w:tcPr>
          <w:p w14:paraId="56F5646A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850" w:type="dxa"/>
            <w:vAlign w:val="center"/>
          </w:tcPr>
          <w:p w14:paraId="2D5545F5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1355" w:type="dxa"/>
            <w:vAlign w:val="center"/>
          </w:tcPr>
          <w:p w14:paraId="573A2E4E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独立</w:t>
            </w: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  <w:tr w14:paraId="4158F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48" w:type="dxa"/>
            <w:vAlign w:val="center"/>
          </w:tcPr>
          <w:p w14:paraId="33A9A329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技能</w:t>
            </w:r>
          </w:p>
        </w:tc>
        <w:tc>
          <w:tcPr>
            <w:tcW w:w="2124" w:type="dxa"/>
            <w:vAlign w:val="bottom"/>
          </w:tcPr>
          <w:p w14:paraId="2F191365">
            <w:pPr>
              <w:widowControl/>
              <w:overflowPunct w:val="0"/>
              <w:topLinePunct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插花花艺作品制作</w:t>
            </w:r>
          </w:p>
        </w:tc>
        <w:tc>
          <w:tcPr>
            <w:tcW w:w="2268" w:type="dxa"/>
            <w:vAlign w:val="center"/>
          </w:tcPr>
          <w:p w14:paraId="0CDF555A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180</w:t>
            </w: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分钟</w:t>
            </w:r>
          </w:p>
        </w:tc>
        <w:tc>
          <w:tcPr>
            <w:tcW w:w="851" w:type="dxa"/>
            <w:vAlign w:val="center"/>
          </w:tcPr>
          <w:p w14:paraId="1CE64656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850" w:type="dxa"/>
            <w:vAlign w:val="center"/>
          </w:tcPr>
          <w:p w14:paraId="25D7D449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80%</w:t>
            </w:r>
          </w:p>
        </w:tc>
        <w:tc>
          <w:tcPr>
            <w:tcW w:w="1355" w:type="dxa"/>
            <w:vAlign w:val="center"/>
          </w:tcPr>
          <w:p w14:paraId="60332543"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独立</w:t>
            </w: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</w:tbl>
    <w:p w14:paraId="16D4590B"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</w:p>
    <w:p w14:paraId="45BE5E4A"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  <w:bookmarkStart w:id="7" w:name="_Toc8453"/>
      <w:r>
        <w:rPr>
          <w:rFonts w:hint="default" w:ascii="Times New Roman" w:hAnsi="Times New Roman" w:eastAsia="仿宋_GB2312"/>
          <w:sz w:val="32"/>
          <w:szCs w:val="32"/>
        </w:rPr>
        <w:t>（三）竞赛成绩</w:t>
      </w:r>
      <w:bookmarkEnd w:id="7"/>
    </w:p>
    <w:p w14:paraId="648C840B">
      <w:pPr>
        <w:overflowPunct w:val="0"/>
        <w:spacing w:line="540" w:lineRule="exact"/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竞赛赛项由理论和技能两部分组成，均采用百分制，小数点后保留一位，60分（含）以上为合格。竞赛按理论20%、技能80%计入比赛总成绩，</w:t>
      </w:r>
      <w:r>
        <w:rPr>
          <w:rFonts w:hint="eastAsia" w:ascii="Times New Roman" w:hAnsi="Times New Roman" w:cs="Times New Roman"/>
          <w:szCs w:val="32"/>
        </w:rPr>
        <w:t>总成绩高者名次在前，</w:t>
      </w:r>
      <w:r>
        <w:rPr>
          <w:rFonts w:ascii="Times New Roman" w:hAnsi="Times New Roman" w:cs="Times New Roman"/>
          <w:szCs w:val="32"/>
        </w:rPr>
        <w:t>总成绩相同时以技能成绩高者名次</w:t>
      </w:r>
      <w:r>
        <w:rPr>
          <w:rFonts w:hint="eastAsia" w:ascii="Times New Roman" w:hAnsi="Times New Roman" w:cs="Times New Roman"/>
          <w:szCs w:val="32"/>
        </w:rPr>
        <w:t>在</w:t>
      </w:r>
      <w:r>
        <w:rPr>
          <w:rFonts w:ascii="Times New Roman" w:hAnsi="Times New Roman" w:cs="Times New Roman"/>
          <w:szCs w:val="32"/>
        </w:rPr>
        <w:t>前</w:t>
      </w:r>
      <w:r>
        <w:rPr>
          <w:rFonts w:hint="eastAsia" w:ascii="仿宋_GB2312" w:hAnsi="仿宋_GB2312" w:cs="仿宋_GB2312"/>
          <w:szCs w:val="32"/>
        </w:rPr>
        <w:t>，技能成绩也相同时，技能用时短者排名在前</w:t>
      </w:r>
      <w:r>
        <w:rPr>
          <w:rFonts w:ascii="Times New Roman" w:hAnsi="Times New Roman" w:cs="Times New Roman"/>
          <w:szCs w:val="32"/>
        </w:rPr>
        <w:t>。</w:t>
      </w:r>
    </w:p>
    <w:p w14:paraId="20C9865B"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bookmarkStart w:id="8" w:name="_Toc15900"/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三、竞赛形式</w:t>
      </w:r>
      <w:bookmarkEnd w:id="8"/>
    </w:p>
    <w:p w14:paraId="44875CD8"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竞赛采用单人竞赛形式。</w:t>
      </w:r>
      <w:r>
        <w:rPr>
          <w:rFonts w:ascii="Times New Roman" w:hAnsi="Times New Roman" w:cs="Times New Roman"/>
        </w:rPr>
        <w:t>理论竞赛为闭卷纸笔考试；技能竞赛为现场实操，由选手</w:t>
      </w:r>
      <w:r>
        <w:rPr>
          <w:rFonts w:hint="eastAsia" w:ascii="Times New Roman" w:hAnsi="Times New Roman" w:cs="Times New Roman"/>
        </w:rPr>
        <w:t>独立完成</w:t>
      </w:r>
      <w:r>
        <w:rPr>
          <w:rFonts w:ascii="Times New Roman" w:hAnsi="Times New Roman" w:cs="Times New Roman"/>
        </w:rPr>
        <w:t>。</w:t>
      </w:r>
    </w:p>
    <w:p w14:paraId="376EFC0D"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bookmarkStart w:id="9" w:name="_Toc15800"/>
    </w:p>
    <w:p w14:paraId="301314CE"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四、竞赛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技术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标准</w:t>
      </w:r>
      <w:bookmarkEnd w:id="9"/>
    </w:p>
    <w:p w14:paraId="419B2473">
      <w:pPr>
        <w:spacing w:line="540" w:lineRule="exact"/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园林绿化行业</w:t>
      </w:r>
      <w:r>
        <w:rPr>
          <w:rFonts w:hint="eastAsia" w:ascii="Times New Roman" w:hAnsi="Times New Roman" w:cs="Times New Roman"/>
          <w:lang w:val="en-US" w:eastAsia="zh-CN"/>
        </w:rPr>
        <w:t>插花花艺师</w:t>
      </w:r>
      <w:r>
        <w:rPr>
          <w:rFonts w:ascii="Times New Roman" w:hAnsi="Times New Roman" w:cs="Times New Roman"/>
        </w:rPr>
        <w:t>职业技能竞赛项目</w:t>
      </w:r>
      <w:r>
        <w:rPr>
          <w:rFonts w:hint="eastAsia" w:ascii="Times New Roman" w:hAnsi="Times New Roman" w:cs="Times New Roman"/>
        </w:rPr>
        <w:t>参照现行《</w:t>
      </w:r>
      <w:r>
        <w:rPr>
          <w:rFonts w:hint="eastAsia" w:ascii="Times New Roman" w:hAnsi="Times New Roman" w:cs="Times New Roman"/>
          <w:lang w:val="en-US" w:eastAsia="zh-CN"/>
        </w:rPr>
        <w:t>插花花艺师</w:t>
      </w:r>
      <w:r>
        <w:rPr>
          <w:rFonts w:hint="eastAsia" w:ascii="Times New Roman" w:hAnsi="Times New Roman" w:cs="Times New Roman"/>
        </w:rPr>
        <w:t>国家职业资格标准》。</w:t>
      </w:r>
      <w:r>
        <w:rPr>
          <w:rFonts w:ascii="Times New Roman" w:hAnsi="Times New Roman" w:cs="Times New Roman"/>
        </w:rPr>
        <w:t>技术文件和理论知识题库</w:t>
      </w:r>
      <w:r>
        <w:rPr>
          <w:rFonts w:ascii="Times New Roman" w:hAnsi="Times New Roman" w:cs="Times New Roman"/>
          <w:szCs w:val="32"/>
        </w:rPr>
        <w:t>在“苏州市园林和绿化管理局”官网（http://ylj.suzhou.gov.cn）“通知公告栏”中公布。</w:t>
      </w:r>
    </w:p>
    <w:p w14:paraId="55102EFD"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bookmarkStart w:id="10" w:name="_Toc12915"/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五、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竞赛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流程</w:t>
      </w:r>
      <w:bookmarkEnd w:id="10"/>
    </w:p>
    <w:p w14:paraId="2D75B940"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  <w:bookmarkStart w:id="11" w:name="_Toc20740"/>
      <w:r>
        <w:rPr>
          <w:rFonts w:hint="default" w:ascii="Times New Roman" w:hAnsi="Times New Roman" w:eastAsia="仿宋_GB2312"/>
          <w:sz w:val="32"/>
          <w:szCs w:val="32"/>
        </w:rPr>
        <w:t>（一）理论竞赛</w:t>
      </w:r>
      <w:bookmarkEnd w:id="11"/>
    </w:p>
    <w:p w14:paraId="7BEC6874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理论采用笔试，时间为90分钟。参赛选手在考试前15分钟，凭选手证、有效身份证进入考场（缺一不得进入考场）；手机（关机）、资料、提包等物品均须统一放到考场指定位置，电子设备不得带至座位。</w:t>
      </w:r>
    </w:p>
    <w:p w14:paraId="4C2AACC4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参赛选手对号入座，并将证件统一放在桌面右上角；考试开始30分钟后，不得进入考场，交卷离场后不得再次进入考场。</w:t>
      </w:r>
    </w:p>
    <w:p w14:paraId="1DB72E8B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参赛选手必须遵守考场纪律，服从监考人员指挥和管理，未经监考人员允许不得离开座位。考试中选手不得出现查阅手机、翻阅资料等其他作弊行为，如若发生，则该试题成绩记为零分；如有其他违规行为，获得第一次黄牌警告，第二次红牌直接取消考试资格。</w:t>
      </w:r>
    </w:p>
    <w:p w14:paraId="13003733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监考人员会在比赛时间剩余10分钟时进行时间提醒。</w:t>
      </w:r>
    </w:p>
    <w:p w14:paraId="0CB0B766">
      <w:pPr>
        <w:pStyle w:val="3"/>
        <w:numPr>
          <w:ilvl w:val="0"/>
          <w:numId w:val="1"/>
        </w:numPr>
        <w:spacing w:beforeAutospacing="0" w:afterAutospacing="0" w:line="240" w:lineRule="auto"/>
        <w:ind w:firstLine="641"/>
        <w:rPr>
          <w:rFonts w:hint="default" w:eastAsia="仿宋_GB2312"/>
        </w:rPr>
      </w:pPr>
      <w:bookmarkStart w:id="12" w:name="_Toc14520"/>
      <w:r>
        <w:rPr>
          <w:rFonts w:hint="default" w:ascii="Times New Roman" w:hAnsi="Times New Roman" w:eastAsia="仿宋_GB2312"/>
          <w:sz w:val="32"/>
          <w:szCs w:val="32"/>
        </w:rPr>
        <w:t>技能竞赛</w:t>
      </w:r>
      <w:bookmarkEnd w:id="12"/>
    </w:p>
    <w:p w14:paraId="76D87706"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1、</w:t>
      </w:r>
      <w:r>
        <w:rPr>
          <w:rFonts w:hint="eastAsia" w:ascii="Times New Roman" w:hAnsi="Times New Roman" w:cs="Times New Roman"/>
        </w:rPr>
        <w:t>实践操作</w:t>
      </w:r>
      <w:r>
        <w:rPr>
          <w:rFonts w:hint="eastAsia" w:ascii="Times New Roman" w:hAnsi="Times New Roman" w:cs="Times New Roman"/>
          <w:lang w:val="en-US" w:eastAsia="zh-CN"/>
        </w:rPr>
        <w:t>插花花艺作品，选手报到后抽签完成指定类型的插花花艺作品制作。</w:t>
      </w:r>
    </w:p>
    <w:p w14:paraId="567F40B1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cs="Times New Roman"/>
          <w:lang w:val="en-US"/>
        </w:rPr>
      </w:pPr>
      <w:r>
        <w:rPr>
          <w:rFonts w:hint="eastAsia" w:ascii="Times New Roman" w:hAnsi="Times New Roman" w:cs="Times New Roman"/>
          <w:lang w:val="en-US" w:eastAsia="zh-CN"/>
        </w:rPr>
        <w:t>2、赛前组委会</w:t>
      </w:r>
      <w:r>
        <w:rPr>
          <w:rFonts w:ascii="Times New Roman" w:hAnsi="Times New Roman" w:cs="Times New Roman"/>
        </w:rPr>
        <w:t>将</w:t>
      </w:r>
      <w:r>
        <w:rPr>
          <w:rFonts w:hint="eastAsia" w:ascii="Times New Roman" w:hAnsi="Times New Roman" w:cs="Times New Roman"/>
          <w:lang w:val="en-US" w:eastAsia="zh-CN"/>
        </w:rPr>
        <w:t>指定竞赛</w:t>
      </w:r>
      <w:r>
        <w:rPr>
          <w:rFonts w:ascii="Times New Roman" w:hAnsi="Times New Roman" w:cs="Times New Roman"/>
        </w:rPr>
        <w:t>材料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器皿、花材、辅材）</w:t>
      </w:r>
      <w:r>
        <w:rPr>
          <w:rFonts w:ascii="Times New Roman" w:hAnsi="Times New Roman" w:cs="Times New Roman"/>
        </w:rPr>
        <w:t>放置于比赛场地</w:t>
      </w:r>
      <w:r>
        <w:rPr>
          <w:rFonts w:hint="eastAsia" w:ascii="Times New Roman" w:hAnsi="Times New Roman" w:cs="Times New Roman"/>
          <w:lang w:val="en-US" w:eastAsia="zh-CN"/>
        </w:rPr>
        <w:t>工位，选手抽取工位号后不得随意调换。</w:t>
      </w:r>
    </w:p>
    <w:p w14:paraId="58340ACA"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比赛正式开始，开始计时；</w:t>
      </w:r>
    </w:p>
    <w:p w14:paraId="28C44228"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.比赛时间为</w:t>
      </w:r>
      <w:r>
        <w:rPr>
          <w:rFonts w:hint="eastAsia"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0分钟，监考人员在比赛时间剩余15分钟时进行提示；</w:t>
      </w:r>
    </w:p>
    <w:p w14:paraId="5F304778"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.参赛</w:t>
      </w:r>
      <w:r>
        <w:rPr>
          <w:rFonts w:hint="eastAsia" w:ascii="Times New Roman" w:hAnsi="Times New Roman" w:cs="Times New Roman"/>
        </w:rPr>
        <w:t>人员</w:t>
      </w:r>
      <w:r>
        <w:rPr>
          <w:rFonts w:ascii="Times New Roman" w:hAnsi="Times New Roman" w:cs="Times New Roman"/>
        </w:rPr>
        <w:t>完成操作内容后，向监考人员报告：“已完成竞赛”，参赛人员随后退出竞赛区；</w:t>
      </w:r>
    </w:p>
    <w:p w14:paraId="4C08C89A"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.竞赛项目结束，待裁判进行考评打分。</w:t>
      </w:r>
    </w:p>
    <w:p w14:paraId="6D7DE42B"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bookmarkStart w:id="13" w:name="_Toc19028"/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六、竞赛试题</w:t>
      </w:r>
      <w:bookmarkEnd w:id="13"/>
    </w:p>
    <w:p w14:paraId="1BF9DCD2"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  <w:bookmarkStart w:id="14" w:name="_Toc17031"/>
      <w:r>
        <w:rPr>
          <w:rFonts w:hint="default" w:ascii="Times New Roman" w:hAnsi="Times New Roman" w:eastAsia="仿宋_GB2312"/>
          <w:sz w:val="32"/>
          <w:szCs w:val="32"/>
        </w:rPr>
        <w:t>（一）比赛项目</w:t>
      </w:r>
      <w:bookmarkEnd w:id="14"/>
    </w:p>
    <w:p w14:paraId="36C52FE4">
      <w:pPr>
        <w:ind w:firstLine="640"/>
        <w:rPr>
          <w:rFonts w:ascii="仿宋_GB2312" w:hAnsi="仿宋_GB2312" w:cs="仿宋_GB2312"/>
          <w:szCs w:val="32"/>
        </w:rPr>
      </w:pPr>
      <w:r>
        <w:rPr>
          <w:rFonts w:ascii="Times New Roman" w:hAnsi="Times New Roman" w:cs="Times New Roman"/>
        </w:rPr>
        <w:t>技术专家组依据</w:t>
      </w:r>
      <w:r>
        <w:rPr>
          <w:rFonts w:hint="eastAsia" w:ascii="Times New Roman" w:hAnsi="Times New Roman" w:cs="Times New Roman"/>
        </w:rPr>
        <w:t>现行《</w:t>
      </w:r>
      <w:r>
        <w:rPr>
          <w:rFonts w:hint="eastAsia" w:ascii="Times New Roman" w:hAnsi="Times New Roman" w:cs="Times New Roman"/>
          <w:lang w:val="en-US" w:eastAsia="zh-CN"/>
        </w:rPr>
        <w:t>插花花艺师</w:t>
      </w:r>
      <w:r>
        <w:rPr>
          <w:rFonts w:hint="eastAsia" w:ascii="Times New Roman" w:hAnsi="Times New Roman" w:cs="Times New Roman"/>
        </w:rPr>
        <w:t>》国家职业资格标准</w:t>
      </w:r>
      <w:r>
        <w:rPr>
          <w:rFonts w:ascii="Times New Roman" w:hAnsi="Times New Roman" w:cs="Times New Roman"/>
        </w:rPr>
        <w:t>编制理论知识考试样题题库，</w:t>
      </w:r>
      <w:r>
        <w:rPr>
          <w:rFonts w:hint="eastAsia" w:ascii="仿宋_GB2312" w:hAnsi="仿宋_GB2312" w:cs="仿宋_GB2312"/>
          <w:szCs w:val="32"/>
        </w:rPr>
        <w:t>理论试题数量为500题（其中，单选300题、多选100题、判断100题），理论试题的70%（其中，单选210题、多选70题、判断70题）作为样题提前公布；最终理论赛题100题（其中，单选60题、多选20题、判断20题，分值每题1分）。</w:t>
      </w:r>
    </w:p>
    <w:p w14:paraId="21AC1777">
      <w:pPr>
        <w:ind w:firstLine="640"/>
        <w:rPr>
          <w:rFonts w:ascii="仿宋_GB2312" w:hAnsi="仿宋_GB2312" w:cs="仿宋_GB2312"/>
          <w:szCs w:val="32"/>
        </w:rPr>
      </w:pPr>
    </w:p>
    <w:p w14:paraId="489C10EF">
      <w:pPr>
        <w:widowControl/>
        <w:overflowPunct w:val="0"/>
        <w:topLinePunct/>
        <w:spacing w:line="360" w:lineRule="auto"/>
        <w:ind w:firstLine="0" w:firstLineChars="0"/>
        <w:jc w:val="center"/>
        <w:rPr>
          <w:rFonts w:hint="default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表3理论命题抽取比例表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288"/>
        <w:gridCol w:w="1289"/>
        <w:gridCol w:w="1289"/>
        <w:gridCol w:w="1289"/>
        <w:gridCol w:w="1264"/>
        <w:gridCol w:w="1264"/>
      </w:tblGrid>
      <w:tr w14:paraId="32332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Merge w:val="restart"/>
            <w:vAlign w:val="center"/>
          </w:tcPr>
          <w:p w14:paraId="114B7FF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题型</w:t>
            </w:r>
          </w:p>
        </w:tc>
        <w:tc>
          <w:tcPr>
            <w:tcW w:w="1474" w:type="dxa"/>
            <w:gridSpan w:val="3"/>
            <w:tcBorders>
              <w:right w:val="double" w:color="auto" w:sz="4" w:space="0"/>
            </w:tcBorders>
            <w:vAlign w:val="center"/>
          </w:tcPr>
          <w:p w14:paraId="5DA15827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理论试题</w:t>
            </w:r>
          </w:p>
        </w:tc>
        <w:tc>
          <w:tcPr>
            <w:tcW w:w="1474" w:type="dxa"/>
            <w:gridSpan w:val="3"/>
            <w:tcBorders>
              <w:left w:val="double" w:color="auto" w:sz="4" w:space="0"/>
            </w:tcBorders>
            <w:vAlign w:val="center"/>
          </w:tcPr>
          <w:p w14:paraId="38AC8FEE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理论赛题</w:t>
            </w:r>
          </w:p>
        </w:tc>
      </w:tr>
      <w:tr w14:paraId="79623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Merge w:val="continue"/>
            <w:vAlign w:val="center"/>
          </w:tcPr>
          <w:p w14:paraId="63EDB14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74" w:type="dxa"/>
            <w:vAlign w:val="center"/>
          </w:tcPr>
          <w:p w14:paraId="4DEF3A25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总题量</w:t>
            </w:r>
          </w:p>
        </w:tc>
        <w:tc>
          <w:tcPr>
            <w:tcW w:w="1474" w:type="dxa"/>
            <w:vAlign w:val="center"/>
          </w:tcPr>
          <w:p w14:paraId="222906F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公布的</w:t>
            </w:r>
          </w:p>
          <w:p w14:paraId="795C2E0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样题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 w14:paraId="168BA59A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不公布的</w:t>
            </w:r>
          </w:p>
          <w:p w14:paraId="1ACF557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试题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 w14:paraId="6A4ECB7B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总题量</w:t>
            </w:r>
          </w:p>
        </w:tc>
        <w:tc>
          <w:tcPr>
            <w:tcW w:w="1474" w:type="dxa"/>
            <w:vAlign w:val="center"/>
          </w:tcPr>
          <w:p w14:paraId="06D7DCB3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从公布的样题抽取</w:t>
            </w:r>
          </w:p>
        </w:tc>
        <w:tc>
          <w:tcPr>
            <w:tcW w:w="1474" w:type="dxa"/>
            <w:vAlign w:val="center"/>
          </w:tcPr>
          <w:p w14:paraId="06DCED2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从不公布的试题抽取</w:t>
            </w:r>
          </w:p>
        </w:tc>
      </w:tr>
      <w:tr w14:paraId="5A024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47B3FBC1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单选</w:t>
            </w:r>
          </w:p>
        </w:tc>
        <w:tc>
          <w:tcPr>
            <w:tcW w:w="1474" w:type="dxa"/>
            <w:vAlign w:val="center"/>
          </w:tcPr>
          <w:p w14:paraId="521D3BE9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300</w:t>
            </w:r>
          </w:p>
        </w:tc>
        <w:tc>
          <w:tcPr>
            <w:tcW w:w="1474" w:type="dxa"/>
            <w:vAlign w:val="center"/>
          </w:tcPr>
          <w:p w14:paraId="2BEA09F3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210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 w14:paraId="3CC07D46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90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 w14:paraId="0983B4BB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60</w:t>
            </w:r>
          </w:p>
        </w:tc>
        <w:tc>
          <w:tcPr>
            <w:tcW w:w="1474" w:type="dxa"/>
            <w:vAlign w:val="center"/>
          </w:tcPr>
          <w:p w14:paraId="29A5F6BB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≦</w:t>
            </w:r>
            <w:r>
              <w:rPr>
                <w:rFonts w:hint="eastAsia" w:ascii="仿宋_GB2312" w:hAnsi="仿宋_GB2312" w:cs="仿宋_GB2312"/>
                <w:sz w:val="24"/>
              </w:rPr>
              <w:t>30</w:t>
            </w:r>
          </w:p>
        </w:tc>
        <w:tc>
          <w:tcPr>
            <w:tcW w:w="1474" w:type="dxa"/>
            <w:vAlign w:val="center"/>
          </w:tcPr>
          <w:p w14:paraId="762F6C98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≧</w:t>
            </w:r>
            <w:r>
              <w:rPr>
                <w:rFonts w:hint="eastAsia" w:ascii="仿宋_GB2312" w:hAnsi="仿宋_GB2312" w:cs="仿宋_GB2312"/>
                <w:sz w:val="24"/>
              </w:rPr>
              <w:t>30</w:t>
            </w:r>
          </w:p>
        </w:tc>
      </w:tr>
      <w:tr w14:paraId="3DE9E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7EB9C854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多选</w:t>
            </w:r>
          </w:p>
        </w:tc>
        <w:tc>
          <w:tcPr>
            <w:tcW w:w="1474" w:type="dxa"/>
            <w:vAlign w:val="center"/>
          </w:tcPr>
          <w:p w14:paraId="5E9FB6BF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100</w:t>
            </w:r>
          </w:p>
        </w:tc>
        <w:tc>
          <w:tcPr>
            <w:tcW w:w="1474" w:type="dxa"/>
            <w:vAlign w:val="center"/>
          </w:tcPr>
          <w:p w14:paraId="52C02178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70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 w14:paraId="221F295F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30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 w14:paraId="10453F84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20</w:t>
            </w:r>
          </w:p>
        </w:tc>
        <w:tc>
          <w:tcPr>
            <w:tcW w:w="1474" w:type="dxa"/>
            <w:vAlign w:val="center"/>
          </w:tcPr>
          <w:p w14:paraId="1118014C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≦</w:t>
            </w:r>
            <w:r>
              <w:rPr>
                <w:rFonts w:hint="eastAsia" w:ascii="仿宋_GB2312" w:hAnsi="仿宋_GB2312" w:cs="仿宋_GB2312"/>
                <w:sz w:val="24"/>
              </w:rPr>
              <w:t>10</w:t>
            </w:r>
          </w:p>
        </w:tc>
        <w:tc>
          <w:tcPr>
            <w:tcW w:w="1474" w:type="dxa"/>
            <w:vAlign w:val="center"/>
          </w:tcPr>
          <w:p w14:paraId="49E9633A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≧</w:t>
            </w:r>
            <w:r>
              <w:rPr>
                <w:rFonts w:hint="eastAsia" w:ascii="仿宋_GB2312" w:hAnsi="仿宋_GB2312" w:cs="仿宋_GB2312"/>
                <w:sz w:val="24"/>
              </w:rPr>
              <w:t>10</w:t>
            </w:r>
          </w:p>
        </w:tc>
      </w:tr>
      <w:tr w14:paraId="73C04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317E13F4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判断</w:t>
            </w:r>
          </w:p>
        </w:tc>
        <w:tc>
          <w:tcPr>
            <w:tcW w:w="1474" w:type="dxa"/>
            <w:vAlign w:val="center"/>
          </w:tcPr>
          <w:p w14:paraId="4DE860DD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100</w:t>
            </w:r>
          </w:p>
        </w:tc>
        <w:tc>
          <w:tcPr>
            <w:tcW w:w="1474" w:type="dxa"/>
            <w:vAlign w:val="center"/>
          </w:tcPr>
          <w:p w14:paraId="05FC4213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70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 w14:paraId="436D41CE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30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 w14:paraId="265C18D1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20</w:t>
            </w:r>
          </w:p>
        </w:tc>
        <w:tc>
          <w:tcPr>
            <w:tcW w:w="1474" w:type="dxa"/>
            <w:vAlign w:val="center"/>
          </w:tcPr>
          <w:p w14:paraId="3B05A31C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≦</w:t>
            </w:r>
            <w:r>
              <w:rPr>
                <w:rFonts w:hint="eastAsia" w:ascii="仿宋_GB2312" w:hAnsi="仿宋_GB2312" w:cs="仿宋_GB2312"/>
                <w:sz w:val="24"/>
              </w:rPr>
              <w:t>10</w:t>
            </w:r>
          </w:p>
        </w:tc>
        <w:tc>
          <w:tcPr>
            <w:tcW w:w="1474" w:type="dxa"/>
            <w:vAlign w:val="center"/>
          </w:tcPr>
          <w:p w14:paraId="385C1B6F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≧</w:t>
            </w:r>
            <w:r>
              <w:rPr>
                <w:rFonts w:hint="eastAsia" w:ascii="仿宋_GB2312" w:hAnsi="仿宋_GB2312" w:cs="仿宋_GB2312"/>
                <w:sz w:val="24"/>
              </w:rPr>
              <w:t>10</w:t>
            </w:r>
          </w:p>
        </w:tc>
      </w:tr>
      <w:tr w14:paraId="49699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4F9A0C44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合计</w:t>
            </w:r>
          </w:p>
        </w:tc>
        <w:tc>
          <w:tcPr>
            <w:tcW w:w="1474" w:type="dxa"/>
            <w:vAlign w:val="center"/>
          </w:tcPr>
          <w:p w14:paraId="18001E59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500</w:t>
            </w:r>
          </w:p>
        </w:tc>
        <w:tc>
          <w:tcPr>
            <w:tcW w:w="1474" w:type="dxa"/>
            <w:vAlign w:val="center"/>
          </w:tcPr>
          <w:p w14:paraId="6621B923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350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 w14:paraId="23511C5A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150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 w14:paraId="35D7FAC4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100</w:t>
            </w:r>
          </w:p>
        </w:tc>
        <w:tc>
          <w:tcPr>
            <w:tcW w:w="1474" w:type="dxa"/>
            <w:vAlign w:val="center"/>
          </w:tcPr>
          <w:p w14:paraId="0A5E9F32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≦</w:t>
            </w:r>
            <w:r>
              <w:rPr>
                <w:rFonts w:hint="eastAsia" w:ascii="仿宋_GB2312" w:hAnsi="仿宋_GB2312" w:cs="仿宋_GB2312"/>
                <w:sz w:val="24"/>
              </w:rPr>
              <w:t>50</w:t>
            </w:r>
          </w:p>
        </w:tc>
        <w:tc>
          <w:tcPr>
            <w:tcW w:w="1474" w:type="dxa"/>
            <w:vAlign w:val="center"/>
          </w:tcPr>
          <w:p w14:paraId="25F76C5F"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≧</w:t>
            </w:r>
            <w:r>
              <w:rPr>
                <w:rFonts w:hint="eastAsia" w:ascii="仿宋_GB2312" w:hAnsi="仿宋_GB2312" w:cs="仿宋_GB2312"/>
                <w:sz w:val="24"/>
              </w:rPr>
              <w:t>50</w:t>
            </w:r>
          </w:p>
        </w:tc>
      </w:tr>
    </w:tbl>
    <w:p w14:paraId="45B2E8B0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1.模块1  理论考试  </w:t>
      </w:r>
    </w:p>
    <w:p w14:paraId="1A7F7C65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考试方式：闭卷，纸笔答题</w:t>
      </w:r>
    </w:p>
    <w:p w14:paraId="5C4F87DB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题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 xml:space="preserve">  型：单选题60题，每题1分；</w:t>
      </w:r>
      <w:r>
        <w:rPr>
          <w:rFonts w:hint="eastAsia" w:ascii="仿宋_GB2312" w:hAnsi="仿宋_GB2312" w:cs="仿宋_GB2312"/>
          <w:szCs w:val="32"/>
        </w:rPr>
        <w:t>多选20题</w:t>
      </w:r>
      <w:r>
        <w:rPr>
          <w:rFonts w:hint="eastAsia" w:ascii="仿宋_GB2312" w:hAnsi="仿宋_GB2312" w:cs="仿宋_GB2312"/>
          <w:szCs w:val="32"/>
          <w:lang w:eastAsia="zh-CN"/>
        </w:rPr>
        <w:t>，</w:t>
      </w:r>
      <w:r>
        <w:rPr>
          <w:rFonts w:ascii="Times New Roman" w:hAnsi="Times New Roman" w:cs="Times New Roman"/>
        </w:rPr>
        <w:t>每题1分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仿宋_GB2312" w:hAnsi="仿宋_GB2312" w:cs="仿宋_GB2312"/>
          <w:szCs w:val="32"/>
        </w:rPr>
        <w:t>判断20题，</w:t>
      </w:r>
      <w:r>
        <w:rPr>
          <w:rFonts w:ascii="Times New Roman" w:hAnsi="Times New Roman" w:cs="Times New Roman"/>
        </w:rPr>
        <w:t>每题1分</w:t>
      </w:r>
    </w:p>
    <w:p w14:paraId="176F9BD6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时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 xml:space="preserve"> 间：90分钟 </w:t>
      </w:r>
    </w:p>
    <w:p w14:paraId="5D731F1B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分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 xml:space="preserve"> 值：100分</w:t>
      </w:r>
    </w:p>
    <w:p w14:paraId="692D7C3E">
      <w:pPr>
        <w:numPr>
          <w:ilvl w:val="0"/>
          <w:numId w:val="0"/>
        </w:numPr>
        <w:ind w:firstLine="643" w:firstLineChars="200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2.模块2  技能竞赛</w:t>
      </w:r>
    </w:p>
    <w:p w14:paraId="1FA6028A"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(1)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竞赛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内容</w:t>
      </w:r>
    </w:p>
    <w:p w14:paraId="4B60886D"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选手需现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在规定时间内独立现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场制作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一件花艺作品，形式自定。</w:t>
      </w:r>
    </w:p>
    <w:p w14:paraId="31A84198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red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本赛项由大赛组委会统一提供插花器皿、花材、辅材。选手现场抽取工位，根据工位准备的命题、器皿、花材完成各自的参赛花艺作品。</w:t>
      </w:r>
    </w:p>
    <w:p w14:paraId="7DE23A45"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)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竞赛时长</w:t>
      </w:r>
    </w:p>
    <w:p w14:paraId="18745715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0分钟。</w:t>
      </w:r>
    </w:p>
    <w:p w14:paraId="3EDEBC25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(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)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竞赛流程</w:t>
      </w:r>
    </w:p>
    <w:p w14:paraId="2F2DE460"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竞赛选手操作方法及操作流程必须按照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插花花艺师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实际操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流程规范操作。</w:t>
      </w:r>
    </w:p>
    <w:p w14:paraId="230F2739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建议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步骤：</w:t>
      </w:r>
    </w:p>
    <w:p w14:paraId="633AC827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第一步：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审题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充分理解赛题，设计作品能引发观者的想象与情感共鸣，体现插花艺术的⾃然之美与⼈⽂内涵，融合中国传统⽂化元素，兼具诗意美感。</w:t>
      </w:r>
    </w:p>
    <w:p w14:paraId="239C9A76"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第二步：实际操作。利用既有素材进行造型创作，体现技法应用的合理性。</w:t>
      </w:r>
    </w:p>
    <w:p w14:paraId="74FCAE1A"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第三步：完成作品。审视作品造型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比例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技艺表现成效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。</w:t>
      </w:r>
    </w:p>
    <w:p w14:paraId="056381FA"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第四步：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作品整洁与养护。操作区域保持整洁，花材保水措施到位，作品整体状态良好。</w:t>
      </w:r>
    </w:p>
    <w:p w14:paraId="75C48D24"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（4）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其他说明事项</w:t>
      </w:r>
    </w:p>
    <w:p w14:paraId="0C456883">
      <w:pPr>
        <w:spacing w:line="540" w:lineRule="exact"/>
        <w:ind w:firstLine="640" w:firstLineChars="200"/>
        <w:rPr>
          <w:rFonts w:hint="eastAsia" w:ascii="Times New Roman" w:hAnsi="Times New Roman" w:cs="Times New Roman" w:eastAsiaTheme="minorEastAsia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本赛项组委会提供瓶、盘、篮三种器皿，选手以抽签的方式随机抽取，并不得调换。选手严禁自带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en-US"/>
        </w:rPr>
        <w:t>各种植物材料各种干花各种仿真花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en-US"/>
        </w:rPr>
        <w:t>各种装饰物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en-US"/>
        </w:rPr>
        <w:t>各种喷胶、喷漆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07D5C415"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选手自备花艺比赛工具，严格遵守赛场纪律，除赛项有特殊规定外，不准携带任何资料、书籍和手机等通讯工具进入竞赛区，否则取消该参赛选手的成绩和名次。</w:t>
      </w:r>
    </w:p>
    <w:p w14:paraId="0A64DECC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（二）评判标准</w:t>
      </w:r>
    </w:p>
    <w:p w14:paraId="5BC2248D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1.评分办法</w:t>
      </w:r>
    </w:p>
    <w:p w14:paraId="4FB7D2AE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总成绩由理论考试成绩和</w:t>
      </w:r>
      <w:r>
        <w:rPr>
          <w:rFonts w:hint="eastAsia" w:ascii="Times New Roman" w:hAnsi="Times New Roman" w:cs="Times New Roman"/>
          <w:lang w:val="en-US" w:eastAsia="zh-CN"/>
        </w:rPr>
        <w:t>插花花艺作品</w:t>
      </w:r>
      <w:r>
        <w:rPr>
          <w:rFonts w:hint="eastAsia" w:ascii="Times New Roman" w:hAnsi="Times New Roman" w:cs="Times New Roman"/>
        </w:rPr>
        <w:t>制作</w:t>
      </w:r>
      <w:r>
        <w:rPr>
          <w:rFonts w:ascii="Times New Roman" w:hAnsi="Times New Roman" w:cs="Times New Roman"/>
        </w:rPr>
        <w:t>成绩两部分组成。理论知识考试100分，占总成绩的20%；</w:t>
      </w:r>
      <w:r>
        <w:rPr>
          <w:rFonts w:hint="eastAsia" w:ascii="Times New Roman" w:hAnsi="Times New Roman" w:cs="Times New Roman"/>
          <w:lang w:val="en-US" w:eastAsia="zh-CN"/>
        </w:rPr>
        <w:t>插花花艺作品制作</w:t>
      </w:r>
      <w:r>
        <w:rPr>
          <w:rFonts w:ascii="Times New Roman" w:hAnsi="Times New Roman" w:cs="Times New Roman"/>
        </w:rPr>
        <w:t>100分，占总成绩的80%，成绩保留到小数点后</w:t>
      </w:r>
      <w:r>
        <w:rPr>
          <w:rFonts w:hint="eastAsia" w:ascii="Times New Roman" w:hAnsi="Times New Roman" w:cs="Times New Roman"/>
          <w:lang w:val="en-US" w:eastAsia="zh-CN"/>
        </w:rPr>
        <w:t>一</w:t>
      </w:r>
      <w:r>
        <w:rPr>
          <w:rFonts w:ascii="Times New Roman" w:hAnsi="Times New Roman" w:cs="Times New Roman"/>
        </w:rPr>
        <w:t>位，60分（含）以上为合格。总成绩相同时以技能成绩高者名次列前，技能成绩也相同时，技能用时短者排名在前。</w:t>
      </w:r>
    </w:p>
    <w:p w14:paraId="0B2BE905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2.评分方式</w:t>
      </w:r>
    </w:p>
    <w:p w14:paraId="35EE0711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每位裁判独立评分，如5名裁判之间的评判结果差距超出1个分数等级，则重新进行评判。</w:t>
      </w:r>
    </w:p>
    <w:p w14:paraId="24D31BC6">
      <w:pPr>
        <w:numPr>
          <w:ilvl w:val="0"/>
          <w:numId w:val="2"/>
        </w:num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评分标准</w:t>
      </w:r>
    </w:p>
    <w:p w14:paraId="4200340F">
      <w:pPr>
        <w:numPr>
          <w:ilvl w:val="0"/>
          <w:numId w:val="0"/>
        </w:numPr>
        <w:ind w:firstLine="1687" w:firstLineChars="600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表</w:t>
      </w: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4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 xml:space="preserve">  </w:t>
      </w: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插花花艺作品</w:t>
      </w: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制作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模块评分表</w:t>
      </w:r>
    </w:p>
    <w:tbl>
      <w:tblPr>
        <w:tblStyle w:val="16"/>
        <w:tblW w:w="84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791"/>
        <w:gridCol w:w="698"/>
        <w:gridCol w:w="668"/>
        <w:gridCol w:w="3701"/>
        <w:gridCol w:w="582"/>
        <w:gridCol w:w="1226"/>
      </w:tblGrid>
      <w:tr w14:paraId="74972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gridSpan w:val="2"/>
            <w:noWrap w:val="0"/>
            <w:vAlign w:val="center"/>
          </w:tcPr>
          <w:p w14:paraId="1D849C99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模块名称</w:t>
            </w:r>
          </w:p>
        </w:tc>
        <w:tc>
          <w:tcPr>
            <w:tcW w:w="0" w:type="auto"/>
            <w:noWrap w:val="0"/>
            <w:vAlign w:val="center"/>
          </w:tcPr>
          <w:p w14:paraId="6C34F04D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考核要求</w:t>
            </w:r>
          </w:p>
        </w:tc>
        <w:tc>
          <w:tcPr>
            <w:tcW w:w="0" w:type="auto"/>
            <w:noWrap w:val="0"/>
            <w:vAlign w:val="center"/>
          </w:tcPr>
          <w:p w14:paraId="5D6CBF93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分值占比</w:t>
            </w:r>
          </w:p>
        </w:tc>
        <w:tc>
          <w:tcPr>
            <w:tcW w:w="0" w:type="auto"/>
            <w:noWrap w:val="0"/>
            <w:vAlign w:val="center"/>
          </w:tcPr>
          <w:p w14:paraId="49DAA425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评分标准</w:t>
            </w:r>
          </w:p>
        </w:tc>
        <w:tc>
          <w:tcPr>
            <w:tcW w:w="0" w:type="auto"/>
            <w:noWrap w:val="0"/>
            <w:vAlign w:val="center"/>
          </w:tcPr>
          <w:p w14:paraId="3F9533F3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竞赛形式</w:t>
            </w:r>
          </w:p>
        </w:tc>
        <w:tc>
          <w:tcPr>
            <w:tcW w:w="1226" w:type="dxa"/>
            <w:noWrap w:val="0"/>
            <w:vAlign w:val="center"/>
          </w:tcPr>
          <w:p w14:paraId="63FAFA3F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考核</w:t>
            </w:r>
          </w:p>
          <w:p w14:paraId="13E5A143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时长</w:t>
            </w:r>
          </w:p>
        </w:tc>
      </w:tr>
      <w:tr w14:paraId="3A885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gridSpan w:val="2"/>
            <w:noWrap w:val="0"/>
            <w:vAlign w:val="center"/>
          </w:tcPr>
          <w:p w14:paraId="3489496A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工作准备（花材、器皿、工具）</w:t>
            </w:r>
          </w:p>
        </w:tc>
        <w:tc>
          <w:tcPr>
            <w:tcW w:w="0" w:type="auto"/>
            <w:noWrap w:val="0"/>
            <w:vAlign w:val="center"/>
          </w:tcPr>
          <w:p w14:paraId="057B24AE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kern w:val="2"/>
                <w:lang w:val="en-US" w:eastAsia="zh-CN" w:bidi="ar"/>
              </w:rPr>
              <w:t>遵守本职业规范</w:t>
            </w:r>
          </w:p>
        </w:tc>
        <w:tc>
          <w:tcPr>
            <w:tcW w:w="0" w:type="auto"/>
            <w:noWrap w:val="0"/>
            <w:vAlign w:val="center"/>
          </w:tcPr>
          <w:p w14:paraId="6444102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0" w:type="auto"/>
            <w:noWrap w:val="0"/>
            <w:vAlign w:val="center"/>
          </w:tcPr>
          <w:p w14:paraId="14CC1795">
            <w:pPr>
              <w:pStyle w:val="15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kern w:val="2"/>
                <w:lang w:val="en-US" w:eastAsia="zh-CN" w:bidi="ar"/>
              </w:rPr>
              <w:t>工作准备包括:熟练完成花材整理(保鲜为目的的修剪）、工具有序摆放、器皿加水等工作，遵守赛场礼仪，尊重裁判，礼让选手。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3BF37B62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实操</w:t>
            </w:r>
          </w:p>
        </w:tc>
        <w:tc>
          <w:tcPr>
            <w:tcW w:w="1226" w:type="dxa"/>
            <w:vMerge w:val="restart"/>
            <w:noWrap w:val="0"/>
            <w:vAlign w:val="center"/>
          </w:tcPr>
          <w:p w14:paraId="0B01AC48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180分钟</w:t>
            </w:r>
          </w:p>
        </w:tc>
      </w:tr>
      <w:tr w14:paraId="4FB5F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C847AA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花艺作品制作</w:t>
            </w:r>
          </w:p>
        </w:tc>
        <w:tc>
          <w:tcPr>
            <w:tcW w:w="791" w:type="dxa"/>
            <w:noWrap w:val="0"/>
            <w:vAlign w:val="center"/>
          </w:tcPr>
          <w:p w14:paraId="530FB65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立意与意境</w:t>
            </w:r>
          </w:p>
        </w:tc>
        <w:tc>
          <w:tcPr>
            <w:tcW w:w="0" w:type="auto"/>
            <w:noWrap w:val="0"/>
            <w:vAlign w:val="center"/>
          </w:tcPr>
          <w:p w14:paraId="2C6B70A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 w:bidi="ar"/>
              </w:rPr>
              <w:t>意境深远</w:t>
            </w:r>
          </w:p>
        </w:tc>
        <w:tc>
          <w:tcPr>
            <w:tcW w:w="0" w:type="auto"/>
            <w:noWrap w:val="0"/>
            <w:vAlign w:val="center"/>
          </w:tcPr>
          <w:p w14:paraId="033E155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0" w:type="auto"/>
            <w:noWrap w:val="0"/>
            <w:vAlign w:val="center"/>
          </w:tcPr>
          <w:p w14:paraId="391CBA78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充分理解赛题，作品能引发观者的想象与情感共鸣，体现插花艺术的⾃然之美与⼈⽂内涵，融合中国传统⽂化元素，兼具诗意美感。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64F6ACC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31999324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78510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155B194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91" w:type="dxa"/>
            <w:vMerge w:val="restart"/>
            <w:noWrap w:val="0"/>
            <w:vAlign w:val="center"/>
          </w:tcPr>
          <w:p w14:paraId="594B60D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造型与构图</w:t>
            </w:r>
          </w:p>
        </w:tc>
        <w:tc>
          <w:tcPr>
            <w:tcW w:w="0" w:type="auto"/>
            <w:noWrap w:val="0"/>
            <w:vAlign w:val="center"/>
          </w:tcPr>
          <w:p w14:paraId="71A5F7FF">
            <w:pPr>
              <w:widowControl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主次分明</w:t>
            </w:r>
          </w:p>
        </w:tc>
        <w:tc>
          <w:tcPr>
            <w:tcW w:w="0" w:type="auto"/>
            <w:noWrap w:val="0"/>
            <w:vAlign w:val="center"/>
          </w:tcPr>
          <w:p w14:paraId="11A72ED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67547D0">
            <w:pPr>
              <w:widowControl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  <w:t>花材搭配有明确的主花、配花、衬叶。巧妙运用中国传统插花构图原理，塑造展现中国传统插花韵味的作品花型。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45D93A5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50646BCD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3446E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11E8099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91" w:type="dxa"/>
            <w:vMerge w:val="continue"/>
            <w:noWrap w:val="0"/>
            <w:vAlign w:val="center"/>
          </w:tcPr>
          <w:p w14:paraId="171977C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center"/>
          </w:tcPr>
          <w:p w14:paraId="6EDF60A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⽐例协调</w:t>
            </w:r>
          </w:p>
        </w:tc>
        <w:tc>
          <w:tcPr>
            <w:tcW w:w="0" w:type="auto"/>
            <w:noWrap w:val="0"/>
            <w:vAlign w:val="center"/>
          </w:tcPr>
          <w:p w14:paraId="2D51D05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78A9068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作品整体⽐例均衡，作品尺度与容器比例合理，巧妙的运用比例关系实现作品多要素的视觉平衡。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1AE08AA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24B19D18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5B700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6AC03C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91" w:type="dxa"/>
            <w:vMerge w:val="continue"/>
            <w:noWrap w:val="0"/>
            <w:vAlign w:val="center"/>
          </w:tcPr>
          <w:p w14:paraId="5E72CD5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center"/>
          </w:tcPr>
          <w:p w14:paraId="77D00A1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 w:bidi="ar"/>
              </w:rPr>
              <w:t>线条优美</w:t>
            </w:r>
          </w:p>
        </w:tc>
        <w:tc>
          <w:tcPr>
            <w:tcW w:w="0" w:type="auto"/>
            <w:noWrap w:val="0"/>
            <w:vAlign w:val="center"/>
          </w:tcPr>
          <w:p w14:paraId="3A420CC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721A3138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花材线条舒展⾃然，造型流畅，富有韵律感，能展现插花艺术的线条之美；前后错落、虚实掩映，营造出丰富的空间层次。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51E8692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510867CD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2E4A7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E13FA3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91" w:type="dxa"/>
            <w:vMerge w:val="restart"/>
            <w:noWrap w:val="0"/>
            <w:vAlign w:val="center"/>
          </w:tcPr>
          <w:p w14:paraId="4E77125C">
            <w:pPr>
              <w:widowControl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花材运⽤与技法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0D58C64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 w:bidi="ar"/>
              </w:rPr>
              <w:t>花材选择</w:t>
            </w:r>
          </w:p>
        </w:tc>
        <w:tc>
          <w:tcPr>
            <w:tcW w:w="0" w:type="auto"/>
            <w:noWrap w:val="0"/>
            <w:vAlign w:val="center"/>
          </w:tcPr>
          <w:p w14:paraId="3680C8A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1AB1C5B7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利用赛场指定花材，花材搭配合理，能体现花材的⾃然特性与美感；⿎励选⽤本地特⾊花材，体现地域特⾊。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7C6E333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1E23DB1C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60B2A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1F2F418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791" w:type="dxa"/>
            <w:vMerge w:val="continue"/>
            <w:noWrap w:val="0"/>
            <w:vAlign w:val="center"/>
          </w:tcPr>
          <w:p w14:paraId="470F576C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DC5FAD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 w:bidi="ar"/>
              </w:rPr>
              <w:t>技法娴熟</w:t>
            </w:r>
          </w:p>
        </w:tc>
        <w:tc>
          <w:tcPr>
            <w:tcW w:w="0" w:type="auto"/>
            <w:noWrap w:val="0"/>
            <w:vAlign w:val="center"/>
          </w:tcPr>
          <w:p w14:paraId="214FAAF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1E2582C3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插花技法规范，花材固定牢固，修剪得当，⽆明显剪切痕迹；能灵活运⽤传统与现代插花技法，展现专业⽔平；多株花材搭配兼顾品种协调、⽣⻓势平衡。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2E41F7C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601DF1CF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4E354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4D19E09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91" w:type="dxa"/>
            <w:vMerge w:val="restart"/>
            <w:noWrap w:val="0"/>
            <w:vAlign w:val="center"/>
          </w:tcPr>
          <w:p w14:paraId="40C0BFE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⾊彩搭配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DCC7D66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 w:bidi="ar"/>
              </w:rPr>
              <w:t>⾊彩协调</w:t>
            </w:r>
          </w:p>
        </w:tc>
        <w:tc>
          <w:tcPr>
            <w:tcW w:w="0" w:type="auto"/>
            <w:noWrap w:val="0"/>
            <w:vAlign w:val="center"/>
          </w:tcPr>
          <w:p w14:paraId="3AE5A30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76AC8C3F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花材、容器、辅材⾊彩搭配和谐统⼀，贴合主题意境，⽆⾊彩冲突，视觉感染⼒强，且⾊彩⻛格与⽐赛场地环境适宜，适配现场明亮、简约的整体调性。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0E94191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7EB57BAF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3B738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417DFD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91" w:type="dxa"/>
            <w:vMerge w:val="continue"/>
            <w:noWrap w:val="0"/>
            <w:vAlign w:val="center"/>
          </w:tcPr>
          <w:p w14:paraId="45E8239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0F2EAB60">
            <w:pPr>
              <w:spacing w:line="240" w:lineRule="auto"/>
              <w:ind w:left="0" w:leftChars="0" w:right="0" w:rightChars="0" w:firstLine="0" w:firstLineChars="0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 w:bidi="ar"/>
              </w:rPr>
              <w:t>⾊彩过渡</w:t>
            </w:r>
          </w:p>
        </w:tc>
        <w:tc>
          <w:tcPr>
            <w:tcW w:w="0" w:type="auto"/>
            <w:noWrap w:val="0"/>
            <w:vAlign w:val="center"/>
          </w:tcPr>
          <w:p w14:paraId="6E197B8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5%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651A98BA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⾊彩过渡⾃然流畅，层次丰富，能通过⾊彩表达创作情感，提升作品整体格调。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72468F4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3C8C091F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43BFC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gridSpan w:val="2"/>
            <w:vMerge w:val="restart"/>
            <w:noWrap w:val="0"/>
            <w:vAlign w:val="center"/>
          </w:tcPr>
          <w:p w14:paraId="54F28A9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作品陈设与养护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6E530EA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作品陈设</w:t>
            </w:r>
          </w:p>
        </w:tc>
        <w:tc>
          <w:tcPr>
            <w:tcW w:w="0" w:type="auto"/>
            <w:noWrap w:val="0"/>
            <w:vAlign w:val="center"/>
          </w:tcPr>
          <w:p w14:paraId="6E03BD2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91D895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作品摆放感符合公共展示的要求。（操作区域保持整洁，无材料浪费）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552BBE8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48AB3BB1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27286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gridSpan w:val="2"/>
            <w:vMerge w:val="continue"/>
            <w:noWrap w:val="0"/>
            <w:vAlign w:val="center"/>
          </w:tcPr>
          <w:p w14:paraId="04D86DD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46FB7D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养护得当</w:t>
            </w:r>
          </w:p>
        </w:tc>
        <w:tc>
          <w:tcPr>
            <w:tcW w:w="0" w:type="auto"/>
            <w:noWrap w:val="0"/>
            <w:vAlign w:val="center"/>
          </w:tcPr>
          <w:p w14:paraId="057763B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top"/>
          </w:tcPr>
          <w:p w14:paraId="0ED3A02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textAlignment w:val="top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花材保水措施到位，作品整体状态良好，无萎蔫、脱落现象，展现良好的养护功底。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5305C25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2A8A153E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78F2A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gridSpan w:val="2"/>
            <w:noWrap w:val="0"/>
            <w:vAlign w:val="center"/>
          </w:tcPr>
          <w:p w14:paraId="35C5FF4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培训与管理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503ECD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工作日志撰写</w:t>
            </w:r>
          </w:p>
        </w:tc>
        <w:tc>
          <w:tcPr>
            <w:tcW w:w="0" w:type="auto"/>
            <w:noWrap w:val="0"/>
            <w:vAlign w:val="center"/>
          </w:tcPr>
          <w:p w14:paraId="544D771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0" w:type="auto"/>
            <w:shd w:val="clear" w:color="auto" w:fill="auto"/>
            <w:noWrap w:val="0"/>
            <w:vAlign w:val="top"/>
          </w:tcPr>
          <w:p w14:paraId="24ADD39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textAlignment w:val="top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设计工作日志表单，含洽谈、采购、制作、配送、反馈、安全、收益等。</w:t>
            </w:r>
          </w:p>
        </w:tc>
        <w:tc>
          <w:tcPr>
            <w:tcW w:w="0" w:type="auto"/>
            <w:noWrap w:val="0"/>
            <w:vAlign w:val="center"/>
          </w:tcPr>
          <w:p w14:paraId="70FA481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noWrap w:val="0"/>
            <w:vAlign w:val="center"/>
          </w:tcPr>
          <w:p w14:paraId="2DB97491"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3E073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gridSpan w:val="2"/>
            <w:noWrap w:val="0"/>
            <w:vAlign w:val="center"/>
          </w:tcPr>
          <w:p w14:paraId="4E64BDC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226" w:type="dxa"/>
            <w:gridSpan w:val="5"/>
            <w:noWrap w:val="0"/>
            <w:vAlign w:val="center"/>
          </w:tcPr>
          <w:p w14:paraId="1EAF326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</w:tr>
    </w:tbl>
    <w:p w14:paraId="0089A4AD">
      <w:pPr>
        <w:ind w:firstLine="0" w:firstLineChars="0"/>
        <w:rPr>
          <w:rFonts w:ascii="Times New Roman" w:hAnsi="Times New Roman" w:cs="Times New Roman"/>
          <w:b/>
          <w:bCs/>
        </w:rPr>
      </w:pPr>
    </w:p>
    <w:p w14:paraId="3B6767B8"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bookmarkStart w:id="15" w:name="_Toc32072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/>
        </w:rPr>
        <w:t>七、竞赛规则</w:t>
      </w:r>
      <w:bookmarkEnd w:id="15"/>
    </w:p>
    <w:p w14:paraId="0B59D575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(一)裁判组成 </w:t>
      </w:r>
    </w:p>
    <w:p w14:paraId="620ADD18"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szCs w:val="32"/>
        </w:rPr>
        <w:t>裁判组由1名裁判长及5名裁判员组成。6名裁判组成员由</w:t>
      </w:r>
      <w:r>
        <w:rPr>
          <w:rFonts w:hint="eastAsia" w:ascii="仿宋" w:hAnsi="仿宋" w:eastAsia="仿宋" w:cs="仿宋"/>
          <w:szCs w:val="32"/>
        </w:rPr>
        <w:t>苏州风景园林学会花卉盆景专业委员会</w:t>
      </w:r>
      <w:r>
        <w:rPr>
          <w:rFonts w:ascii="Times New Roman" w:hAnsi="Times New Roman" w:cs="Times New Roman"/>
          <w:szCs w:val="32"/>
        </w:rPr>
        <w:t>进行遴选审查</w:t>
      </w:r>
      <w:r>
        <w:rPr>
          <w:rFonts w:ascii="Times New Roman" w:hAnsi="Times New Roman" w:cs="Times New Roman"/>
        </w:rPr>
        <w:t>。</w:t>
      </w:r>
    </w:p>
    <w:p w14:paraId="69A09BF7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技术专家组长兼任裁判长，不参与具体评判。</w:t>
      </w:r>
    </w:p>
    <w:p w14:paraId="24A242C1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（二）裁判推荐条件</w:t>
      </w:r>
    </w:p>
    <w:p w14:paraId="465E6246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裁判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由苏州风景园林学会花卉盆景专业委员会进行遴选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符合条件的，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组委会审定批准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裁判遴选条件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如下：</w:t>
      </w:r>
    </w:p>
    <w:p w14:paraId="6404EEA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裁判应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园林行业及相关高校知名专家（有执裁市级以上花艺赛项经验者优先聘请）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5764FC9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身体健康，无任何违法违纪记录，且获得工作单位支持，能在规定时间内参与执裁工作，并按要求完成指定任务。</w:t>
      </w:r>
    </w:p>
    <w:p w14:paraId="3EE2AF7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具有良好的职业道德和心理素质，严守竞赛纪律，服从组织安排，责任心强。</w:t>
      </w:r>
    </w:p>
    <w:p w14:paraId="6EE5761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具有丰富的考评经验，能够独立评判和评价，有较强的组织协调能力和临场应变能力。</w:t>
      </w:r>
    </w:p>
    <w:p w14:paraId="61840FBD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能够自觉坚持公平、公正的原则，秉公执法不徇私情。</w:t>
      </w:r>
    </w:p>
    <w:p w14:paraId="17999CDC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6.</w:t>
      </w:r>
      <w:r>
        <w:rPr>
          <w:rFonts w:ascii="Times New Roman" w:hAnsi="Times New Roman" w:eastAsia="仿宋_GB2312" w:cs="Times New Roman"/>
          <w:sz w:val="32"/>
          <w:szCs w:val="32"/>
        </w:rPr>
        <w:t>裁判确定遵循交叉原则、回避原则；</w:t>
      </w:r>
    </w:p>
    <w:p w14:paraId="71B3A16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7.</w:t>
      </w:r>
      <w:r>
        <w:rPr>
          <w:rFonts w:ascii="Times New Roman" w:hAnsi="Times New Roman" w:eastAsia="仿宋_GB2312" w:cs="Times New Roman"/>
          <w:sz w:val="32"/>
          <w:szCs w:val="32"/>
        </w:rPr>
        <w:t>裁判承诺执裁工作按照公平、公正、客观的原则进行，签署《职业技能竞赛工作人员责任书》；</w:t>
      </w:r>
    </w:p>
    <w:p w14:paraId="4266E460">
      <w:pPr>
        <w:ind w:firstLine="640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裁判名单于赛前1周报送苏州市职业技能鉴定中心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。</w:t>
      </w:r>
    </w:p>
    <w:p w14:paraId="3A821690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（三）选手要求</w:t>
      </w:r>
    </w:p>
    <w:p w14:paraId="364B849B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hint="eastAsia" w:ascii="Times New Roman" w:hAnsi="Times New Roman" w:cs="Times New Roman"/>
          <w:szCs w:val="32"/>
        </w:rPr>
        <w:t>年满18周岁且未超过法定退休年龄，具有相应从业经历，具有我市户籍或者报名时在我市正常参加社会保险且累计满3个月，同时具备以下条件之一者，均可报名参赛</w:t>
      </w:r>
      <w:r>
        <w:rPr>
          <w:rFonts w:ascii="Times New Roman" w:hAnsi="Times New Roman" w:cs="Times New Roman"/>
        </w:rPr>
        <w:t>：</w:t>
      </w:r>
    </w:p>
    <w:p w14:paraId="11C31C0D">
      <w:pPr>
        <w:ind w:firstLine="640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</w:rPr>
        <w:t>（1）</w:t>
      </w:r>
      <w:r>
        <w:rPr>
          <w:rFonts w:hint="eastAsia" w:ascii="Times New Roman" w:hAnsi="Times New Roman" w:cs="Times New Roman"/>
          <w:szCs w:val="32"/>
        </w:rPr>
        <w:t>具有园林绿化行业</w:t>
      </w:r>
      <w:r>
        <w:rPr>
          <w:rFonts w:hint="eastAsia" w:ascii="Times New Roman" w:hAnsi="Times New Roman" w:cs="Times New Roman"/>
          <w:szCs w:val="32"/>
          <w:lang w:val="en-US" w:eastAsia="zh-CN"/>
        </w:rPr>
        <w:t>插花花艺师</w:t>
      </w:r>
      <w:r>
        <w:rPr>
          <w:rFonts w:hint="eastAsia" w:ascii="Times New Roman" w:hAnsi="Times New Roman" w:cs="Times New Roman"/>
          <w:szCs w:val="32"/>
        </w:rPr>
        <w:t>初级工（含）以上职业资格（技能等级）；</w:t>
      </w:r>
    </w:p>
    <w:p w14:paraId="193A3E95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（2）</w:t>
      </w:r>
      <w:r>
        <w:rPr>
          <w:rFonts w:hint="eastAsia" w:ascii="Times New Roman" w:hAnsi="Times New Roman" w:cs="Times New Roman"/>
          <w:szCs w:val="32"/>
        </w:rPr>
        <w:t>具有相关职业一年（含）以上工作经历</w:t>
      </w:r>
      <w:r>
        <w:rPr>
          <w:rFonts w:ascii="Times New Roman" w:hAnsi="Times New Roman" w:cs="Times New Roman"/>
        </w:rPr>
        <w:t>。</w:t>
      </w:r>
    </w:p>
    <w:p w14:paraId="212B2BCF">
      <w:pPr>
        <w:ind w:left="0" w:leftChars="0" w:firstLine="640" w:firstLineChars="20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1.</w:t>
      </w:r>
      <w:r>
        <w:rPr>
          <w:rFonts w:hint="eastAsia" w:ascii="Times New Roman" w:hAnsi="Times New Roman" w:cs="Times New Roman"/>
          <w:szCs w:val="32"/>
        </w:rPr>
        <w:t>已获市或省“五一创新能手”“技术能手”“江苏省住房城乡建设系统技能标兵”称号的或技师以上职业资格（技能等级）的人员，原则上不可以报名参加本次竞赛。</w:t>
      </w:r>
    </w:p>
    <w:p w14:paraId="6E436483">
      <w:pPr>
        <w:numPr>
          <w:ilvl w:val="0"/>
          <w:numId w:val="0"/>
        </w:numPr>
        <w:ind w:firstLine="640" w:firstLineChars="20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2.</w:t>
      </w:r>
      <w:r>
        <w:rPr>
          <w:rFonts w:hint="eastAsia" w:ascii="Times New Roman" w:hAnsi="Times New Roman" w:cs="Times New Roman"/>
          <w:szCs w:val="32"/>
        </w:rPr>
        <w:t>本次竞赛不举办县区级选拔赛，由每个县级市、区城市绿化主管部门以及相关市级国企各自组织推荐1～3名选手参赛。竞赛组织方负责对各参赛报名人员的资格进行审核。</w:t>
      </w:r>
    </w:p>
    <w:p w14:paraId="530050B7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3.竞赛</w:t>
      </w:r>
      <w:r>
        <w:rPr>
          <w:rFonts w:hint="eastAsia" w:ascii="Times New Roman" w:hAnsi="Times New Roman" w:cs="Times New Roman"/>
        </w:rPr>
        <w:t>组织方</w:t>
      </w:r>
      <w:r>
        <w:rPr>
          <w:rFonts w:ascii="Times New Roman" w:hAnsi="Times New Roman" w:cs="Times New Roman"/>
        </w:rPr>
        <w:t>负责对各参赛报名人员的资格进行审核。</w:t>
      </w:r>
    </w:p>
    <w:p w14:paraId="689EA96D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（四）熟悉场地</w:t>
      </w:r>
    </w:p>
    <w:p w14:paraId="04D4E7BB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本次竞赛</w:t>
      </w:r>
      <w:r>
        <w:rPr>
          <w:rFonts w:hint="eastAsia" w:ascii="Times New Roman" w:hAnsi="Times New Roman" w:cs="Times New Roman"/>
        </w:rPr>
        <w:t>组织方</w:t>
      </w:r>
      <w:r>
        <w:rPr>
          <w:rFonts w:ascii="Times New Roman" w:hAnsi="Times New Roman" w:cs="Times New Roman"/>
        </w:rPr>
        <w:t>不统一组织安排赛前选手技术指导和场地熟悉环节。</w:t>
      </w:r>
    </w:p>
    <w:p w14:paraId="46262A18"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（五）仲裁人员安排</w:t>
      </w:r>
    </w:p>
    <w:p w14:paraId="650A7B82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仲裁人员安排：</w:t>
      </w:r>
    </w:p>
    <w:p w14:paraId="4E0A0D9D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杰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市职业技能鉴定中心主任</w:t>
      </w:r>
    </w:p>
    <w:p w14:paraId="335BD23C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吴友松 </w:t>
      </w:r>
      <w:r>
        <w:rPr>
          <w:rFonts w:ascii="Times New Roman" w:hAnsi="Times New Roman" w:eastAsia="仿宋_GB2312" w:cs="Times New Roman"/>
          <w:sz w:val="32"/>
          <w:szCs w:val="32"/>
        </w:rPr>
        <w:t>市园林绿化局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组织人事处处长</w:t>
      </w:r>
    </w:p>
    <w:p w14:paraId="40D7FAC8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周智翔 市园林绿化局机关党委副书记</w:t>
      </w:r>
    </w:p>
    <w:p w14:paraId="6A65ABD0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仲裁人员负责接受由参赛队提出的对裁判结果的申诉，组织复议并及时反馈复议结果。</w:t>
      </w:r>
    </w:p>
    <w:p w14:paraId="48E160E2">
      <w:pPr>
        <w:numPr>
          <w:ilvl w:val="0"/>
          <w:numId w:val="3"/>
        </w:num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各参赛队对不符合赛项规程规定的设备、工具、材料、竞赛执裁、赛场管理及工作人员的不规范行为等，参赛队主创选手可向仲裁组提出申诉；</w:t>
      </w:r>
    </w:p>
    <w:p w14:paraId="3D796170">
      <w:pPr>
        <w:numPr>
          <w:ilvl w:val="0"/>
          <w:numId w:val="3"/>
        </w:num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申诉启动时，参赛队以该队主创签字同意的书面报告的形式递交仲裁组。报告应对申诉事件的现象、发生时间、涉及人员、申诉依据等进行充分、实事求是的叙述。非书面申诉不予受理；</w:t>
      </w:r>
    </w:p>
    <w:p w14:paraId="2A818B9F">
      <w:pPr>
        <w:numPr>
          <w:ilvl w:val="0"/>
          <w:numId w:val="3"/>
        </w:num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提出申诉应在赛项比赛结束后2小时内提出。超过2小时不予受理；</w:t>
      </w:r>
    </w:p>
    <w:p w14:paraId="39DDB560">
      <w:pPr>
        <w:numPr>
          <w:ilvl w:val="0"/>
          <w:numId w:val="3"/>
        </w:numPr>
        <w:ind w:firstLine="640"/>
        <w:rPr>
          <w:rFonts w:hint="eastAsia" w:ascii="Times New Roman" w:hAnsi="Times New Roman" w:eastAsia="黑体" w:cs="Times New Roman"/>
        </w:rPr>
      </w:pPr>
      <w:r>
        <w:rPr>
          <w:rFonts w:ascii="Times New Roman" w:hAnsi="Times New Roman" w:cs="Times New Roman"/>
        </w:rPr>
        <w:t>仲裁组在接到申诉报告后的2小时内组织复议，并及时将复议结果以书面形式告知申诉方。仲裁组的仲裁结果为最终结果。</w:t>
      </w:r>
    </w:p>
    <w:p w14:paraId="7E3B5942">
      <w:pPr>
        <w:ind w:firstLine="640"/>
        <w:rPr>
          <w:rFonts w:ascii="Times New Roman" w:hAnsi="Times New Roman" w:eastAsia="黑体" w:cs="Times New Roman"/>
        </w:rPr>
      </w:pPr>
      <w:r>
        <w:rPr>
          <w:rFonts w:hint="eastAsia" w:ascii="Times New Roman" w:hAnsi="Times New Roman" w:eastAsia="黑体" w:cs="Times New Roman"/>
        </w:rPr>
        <w:t>八</w:t>
      </w:r>
      <w:r>
        <w:rPr>
          <w:rFonts w:ascii="Times New Roman" w:hAnsi="Times New Roman" w:eastAsia="黑体" w:cs="Times New Roman"/>
        </w:rPr>
        <w:t>、赛项安全</w:t>
      </w:r>
    </w:p>
    <w:p w14:paraId="019A57A9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承办单位应按照大赛执委会要求，在赛前组织专人对比赛现场和交通保障进行考察，及时排除安全隐患。赛场的布置，赛场内的器材、设备，应符合国家有关安全规定。如有必要，也可于赛前进行赛场仿真模拟测试，以便发现可能出现的问题。</w:t>
      </w:r>
    </w:p>
    <w:p w14:paraId="16A14B42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2.赛场周围要设立警戒线，防止无关人员进入发生意外事件。赛场设置警戒线及联网的监控体系，可对赛场进行 24 小时监控。比赛现场内应参照相关职业岗位的要求为选手提供必要的劳动保护。在具有危险性的操作环节，裁判员要严防选手出现错误操作。</w:t>
      </w:r>
    </w:p>
    <w:p w14:paraId="2D1B389C"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3.承办单位应提供保证应急预案实施的条件，必须明确安全制度和预案，并配备急救人员与设施。</w:t>
      </w:r>
    </w:p>
    <w:p w14:paraId="58AC9DAF">
      <w:pPr>
        <w:ind w:firstLine="640"/>
        <w:rPr>
          <w:rFonts w:ascii="Times New Roman" w:hAnsi="Times New Roman" w:eastAsia="黑体" w:cs="Times New Roman"/>
        </w:rPr>
      </w:pPr>
      <w:r>
        <w:rPr>
          <w:rFonts w:ascii="Times New Roman" w:hAnsi="Times New Roman" w:cs="Times New Roman"/>
        </w:rPr>
        <w:t>4.承办单位须在赛场管理的关键岗位，增加力量，建立安全管理日志。对人员密集、车流人流交错的区域，除了设置齐全的指示标志外，须增加引导人员，并开辟备用通道。参赛选手进入赛场、裁判员和工作人员进入工作场所，严禁携带通讯、照相摄录设备，禁止携带记录用具。如确有需要，由赛场统一配置、统一管理。赛项可根据需要配置安检设备对进入赛场重要部位的人员进行安检。</w:t>
      </w:r>
    </w:p>
    <w:p w14:paraId="6AB1B079">
      <w:pPr>
        <w:ind w:firstLine="640"/>
        <w:rPr>
          <w:rFonts w:ascii="Times New Roman" w:hAnsi="Times New Roman" w:eastAsia="黑体" w:cs="Times New Roman"/>
        </w:rPr>
      </w:pPr>
      <w:r>
        <w:rPr>
          <w:rFonts w:hint="eastAsia" w:ascii="Times New Roman" w:hAnsi="Times New Roman" w:eastAsia="黑体" w:cs="Times New Roman"/>
        </w:rPr>
        <w:t>九</w:t>
      </w:r>
      <w:r>
        <w:rPr>
          <w:rFonts w:ascii="Times New Roman" w:hAnsi="Times New Roman" w:eastAsia="黑体" w:cs="Times New Roman"/>
        </w:rPr>
        <w:t xml:space="preserve">、奖项设置 </w:t>
      </w:r>
    </w:p>
    <w:p w14:paraId="00E6D57A">
      <w:pPr>
        <w:ind w:firstLine="640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</w:rPr>
        <w:t>（一）奖项设置及发放。</w:t>
      </w:r>
      <w:r>
        <w:rPr>
          <w:rFonts w:ascii="Times New Roman" w:hAnsi="Times New Roman" w:cs="Times New Roman"/>
          <w:szCs w:val="32"/>
        </w:rPr>
        <w:t>竞赛结束后由竞赛</w:t>
      </w:r>
      <w:r>
        <w:rPr>
          <w:rFonts w:hint="eastAsia" w:ascii="Times New Roman" w:hAnsi="Times New Roman" w:cs="Times New Roman"/>
          <w:szCs w:val="32"/>
        </w:rPr>
        <w:t>组织方</w:t>
      </w:r>
      <w:r>
        <w:rPr>
          <w:rFonts w:ascii="Times New Roman" w:hAnsi="Times New Roman" w:cs="Times New Roman"/>
          <w:szCs w:val="32"/>
        </w:rPr>
        <w:t>颁发一、二、三等奖和优胜奖等奖项，原则上一等奖1</w:t>
      </w:r>
      <w:r>
        <w:rPr>
          <w:rFonts w:hint="eastAsia" w:ascii="Times New Roman" w:hAnsi="Times New Roman" w:cs="Times New Roman"/>
          <w:szCs w:val="32"/>
        </w:rPr>
        <w:t>名</w:t>
      </w:r>
      <w:r>
        <w:rPr>
          <w:rFonts w:ascii="Times New Roman" w:hAnsi="Times New Roman" w:cs="Times New Roman"/>
          <w:szCs w:val="32"/>
        </w:rPr>
        <w:t>，二等奖3</w:t>
      </w:r>
      <w:r>
        <w:rPr>
          <w:rFonts w:hint="eastAsia" w:ascii="Times New Roman" w:hAnsi="Times New Roman" w:cs="Times New Roman"/>
          <w:szCs w:val="32"/>
        </w:rPr>
        <w:t>名</w:t>
      </w:r>
      <w:r>
        <w:rPr>
          <w:rFonts w:ascii="Times New Roman" w:hAnsi="Times New Roman" w:cs="Times New Roman"/>
          <w:szCs w:val="32"/>
        </w:rPr>
        <w:t>，三等奖6</w:t>
      </w:r>
      <w:r>
        <w:rPr>
          <w:rFonts w:hint="eastAsia" w:ascii="Times New Roman" w:hAnsi="Times New Roman" w:cs="Times New Roman"/>
          <w:szCs w:val="32"/>
        </w:rPr>
        <w:t>名</w:t>
      </w:r>
      <w:r>
        <w:rPr>
          <w:rFonts w:ascii="Times New Roman" w:hAnsi="Times New Roman" w:cs="Times New Roman"/>
          <w:szCs w:val="32"/>
        </w:rPr>
        <w:t>，优胜奖若干，获奖组数不超过最终参赛组数的50%。</w:t>
      </w:r>
    </w:p>
    <w:p w14:paraId="54854B0D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/>
        </w:rPr>
        <w:t>（二）职业技能晋升。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赛项</w:t>
      </w:r>
      <w:r>
        <w:rPr>
          <w:rFonts w:ascii="Times New Roman" w:hAnsi="Times New Roman" w:eastAsia="仿宋_GB2312" w:cs="Times New Roman"/>
          <w:sz w:val="32"/>
          <w:szCs w:val="32"/>
        </w:rPr>
        <w:t>参赛人员中排名前50%以内且理论和技能成绩均合格的选手，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前3名可晋升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插花花艺师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技师（二级）职业技能等级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其他可</w:t>
      </w:r>
      <w:r>
        <w:rPr>
          <w:rFonts w:ascii="Times New Roman" w:hAnsi="Times New Roman" w:eastAsia="仿宋_GB2312" w:cs="Times New Roman"/>
          <w:sz w:val="32"/>
          <w:szCs w:val="32"/>
        </w:rPr>
        <w:t>晋升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三级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高级工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职业技能等级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证书由苏州市职业技能鉴定中心代章。</w:t>
      </w:r>
    </w:p>
    <w:p w14:paraId="70257855">
      <w:pPr>
        <w:ind w:firstLine="640"/>
        <w:rPr>
          <w:rFonts w:ascii="Times New Roman" w:hAnsi="Times New Roman" w:cs="Times New Roman"/>
        </w:rPr>
      </w:pPr>
      <w:bookmarkStart w:id="16" w:name="_GoBack"/>
      <w:bookmarkEnd w:id="16"/>
    </w:p>
    <w:sectPr>
      <w:pgSz w:w="11906" w:h="16838"/>
      <w:pgMar w:top="2041" w:right="1588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85C299FB-001B-4A62-9668-D4C41A0FC64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92DC968-CFB1-4D51-BA18-27618B0E03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0B711B0-672B-41DB-920F-DC0944752D62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7A81E51-B4C4-40AE-B987-1EBF2D582F7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51E3C0C7-722C-454D-8F35-6E1F89616489}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  <w:embedRegular r:id="rId6" w:fontKey="{BB9A2F3A-9C97-408E-B4FD-14D38D7D9C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93C90">
    <w:pPr>
      <w:spacing w:line="171" w:lineRule="auto"/>
      <w:ind w:firstLine="640"/>
      <w:rPr>
        <w:rFonts w:ascii="仿宋" w:hAnsi="仿宋" w:eastAsia="仿宋" w:cs="仿宋"/>
        <w:szCs w:val="21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EAD6EC">
                          <w:pPr>
                            <w:pStyle w:val="9"/>
                            <w:ind w:firstLine="400"/>
                            <w:rPr>
                              <w:sz w:val="20"/>
                              <w:szCs w:val="28"/>
                            </w:rPr>
                          </w:pPr>
                          <w:r>
                            <w:rPr>
                              <w:sz w:val="20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8"/>
                            </w:rPr>
                            <w:t>2</w: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EAD6EC">
                    <w:pPr>
                      <w:pStyle w:val="9"/>
                      <w:ind w:firstLine="400"/>
                      <w:rPr>
                        <w:sz w:val="20"/>
                        <w:szCs w:val="28"/>
                      </w:rPr>
                    </w:pPr>
                    <w:r>
                      <w:rPr>
                        <w:sz w:val="20"/>
                        <w:szCs w:val="28"/>
                      </w:rPr>
                      <w:fldChar w:fldCharType="begin"/>
                    </w:r>
                    <w:r>
                      <w:rPr>
                        <w:sz w:val="20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8"/>
                      </w:rPr>
                      <w:fldChar w:fldCharType="separate"/>
                    </w:r>
                    <w:r>
                      <w:rPr>
                        <w:sz w:val="20"/>
                        <w:szCs w:val="28"/>
                      </w:rPr>
                      <w:t>2</w:t>
                    </w:r>
                    <w:r>
                      <w:rPr>
                        <w:sz w:val="20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F599E"/>
    <w:multiLevelType w:val="singleLevel"/>
    <w:tmpl w:val="B0FF599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1AAEE3"/>
    <w:multiLevelType w:val="singleLevel"/>
    <w:tmpl w:val="541AAEE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908FC3F"/>
    <w:multiLevelType w:val="singleLevel"/>
    <w:tmpl w:val="7908FC3F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mMDEzOGQwODgwZTIzZWRlMmU1ZDE5Y2M4MTc4ZDUifQ=="/>
  </w:docVars>
  <w:rsids>
    <w:rsidRoot w:val="48A92C9A"/>
    <w:rsid w:val="00041CC7"/>
    <w:rsid w:val="0004370E"/>
    <w:rsid w:val="001324A4"/>
    <w:rsid w:val="002C6ABC"/>
    <w:rsid w:val="00362A5C"/>
    <w:rsid w:val="00434042"/>
    <w:rsid w:val="00636C4B"/>
    <w:rsid w:val="00770F81"/>
    <w:rsid w:val="0084032D"/>
    <w:rsid w:val="00977878"/>
    <w:rsid w:val="00B3391D"/>
    <w:rsid w:val="00B458FA"/>
    <w:rsid w:val="00C97182"/>
    <w:rsid w:val="00D10D3D"/>
    <w:rsid w:val="00F26F3C"/>
    <w:rsid w:val="00F66F31"/>
    <w:rsid w:val="00FD7DD1"/>
    <w:rsid w:val="00FF1B97"/>
    <w:rsid w:val="011E0236"/>
    <w:rsid w:val="03744D3D"/>
    <w:rsid w:val="03A93E53"/>
    <w:rsid w:val="041B0A5C"/>
    <w:rsid w:val="054A15F9"/>
    <w:rsid w:val="06452935"/>
    <w:rsid w:val="06B23EFA"/>
    <w:rsid w:val="06BC3920"/>
    <w:rsid w:val="0729236C"/>
    <w:rsid w:val="07C80B54"/>
    <w:rsid w:val="09E16427"/>
    <w:rsid w:val="09E34473"/>
    <w:rsid w:val="0B1F47AE"/>
    <w:rsid w:val="0B696845"/>
    <w:rsid w:val="0BA4158B"/>
    <w:rsid w:val="0BB11EBF"/>
    <w:rsid w:val="0BB56CC5"/>
    <w:rsid w:val="0C954955"/>
    <w:rsid w:val="0D3E2F48"/>
    <w:rsid w:val="0D8F7523"/>
    <w:rsid w:val="0E260B91"/>
    <w:rsid w:val="0EA942C2"/>
    <w:rsid w:val="11F41C82"/>
    <w:rsid w:val="126C1355"/>
    <w:rsid w:val="12947C15"/>
    <w:rsid w:val="12A75247"/>
    <w:rsid w:val="12F157AA"/>
    <w:rsid w:val="136E3E81"/>
    <w:rsid w:val="15874C3F"/>
    <w:rsid w:val="171445E0"/>
    <w:rsid w:val="17A9528F"/>
    <w:rsid w:val="18164A4B"/>
    <w:rsid w:val="190B01A6"/>
    <w:rsid w:val="1B4D379A"/>
    <w:rsid w:val="1C4B2BEA"/>
    <w:rsid w:val="1C506ABE"/>
    <w:rsid w:val="1C5218CF"/>
    <w:rsid w:val="1CC07ED6"/>
    <w:rsid w:val="1D550E0C"/>
    <w:rsid w:val="1D790876"/>
    <w:rsid w:val="1DF6249F"/>
    <w:rsid w:val="1E532002"/>
    <w:rsid w:val="1F1650FC"/>
    <w:rsid w:val="22E86407"/>
    <w:rsid w:val="23030095"/>
    <w:rsid w:val="230C5720"/>
    <w:rsid w:val="2366189C"/>
    <w:rsid w:val="2396399E"/>
    <w:rsid w:val="24D124DC"/>
    <w:rsid w:val="24ED51FC"/>
    <w:rsid w:val="255E475A"/>
    <w:rsid w:val="260E7A55"/>
    <w:rsid w:val="26405C4F"/>
    <w:rsid w:val="26A27A1A"/>
    <w:rsid w:val="282B4E63"/>
    <w:rsid w:val="28790860"/>
    <w:rsid w:val="28972FF3"/>
    <w:rsid w:val="2C123E59"/>
    <w:rsid w:val="2C4660AC"/>
    <w:rsid w:val="2C4E0BCA"/>
    <w:rsid w:val="2D104627"/>
    <w:rsid w:val="2DFC48DA"/>
    <w:rsid w:val="2F8C6E19"/>
    <w:rsid w:val="2FFF138C"/>
    <w:rsid w:val="304F3A9F"/>
    <w:rsid w:val="31555403"/>
    <w:rsid w:val="32920CC0"/>
    <w:rsid w:val="333C0154"/>
    <w:rsid w:val="347413B3"/>
    <w:rsid w:val="35AD652D"/>
    <w:rsid w:val="36536240"/>
    <w:rsid w:val="36B76A84"/>
    <w:rsid w:val="36EC0B2B"/>
    <w:rsid w:val="387221E0"/>
    <w:rsid w:val="39511E11"/>
    <w:rsid w:val="39BB2FE3"/>
    <w:rsid w:val="3B334302"/>
    <w:rsid w:val="3B6130C1"/>
    <w:rsid w:val="3CFE449C"/>
    <w:rsid w:val="3DD154B4"/>
    <w:rsid w:val="3DF567C6"/>
    <w:rsid w:val="3EC57D08"/>
    <w:rsid w:val="3F726B1C"/>
    <w:rsid w:val="40043AA9"/>
    <w:rsid w:val="40E573ED"/>
    <w:rsid w:val="417B6F07"/>
    <w:rsid w:val="42270DE8"/>
    <w:rsid w:val="434D62E5"/>
    <w:rsid w:val="435C1C43"/>
    <w:rsid w:val="47FF7327"/>
    <w:rsid w:val="480F7446"/>
    <w:rsid w:val="48A92C9A"/>
    <w:rsid w:val="4919507C"/>
    <w:rsid w:val="493405E7"/>
    <w:rsid w:val="499A2DAD"/>
    <w:rsid w:val="4A0A0505"/>
    <w:rsid w:val="4A1C6653"/>
    <w:rsid w:val="4B622B11"/>
    <w:rsid w:val="4B7A3887"/>
    <w:rsid w:val="4BF17890"/>
    <w:rsid w:val="4C716474"/>
    <w:rsid w:val="4CF907DC"/>
    <w:rsid w:val="51245E55"/>
    <w:rsid w:val="519E291D"/>
    <w:rsid w:val="52416EAD"/>
    <w:rsid w:val="53D039F9"/>
    <w:rsid w:val="55EF2271"/>
    <w:rsid w:val="56655EC6"/>
    <w:rsid w:val="567E4EEE"/>
    <w:rsid w:val="59D92F0C"/>
    <w:rsid w:val="5ACF5A4A"/>
    <w:rsid w:val="5CF01AF8"/>
    <w:rsid w:val="5D734BFC"/>
    <w:rsid w:val="5DDAFB93"/>
    <w:rsid w:val="5F700685"/>
    <w:rsid w:val="602F2A3B"/>
    <w:rsid w:val="61416AFB"/>
    <w:rsid w:val="616A350B"/>
    <w:rsid w:val="62C13B61"/>
    <w:rsid w:val="64B54958"/>
    <w:rsid w:val="64D47C83"/>
    <w:rsid w:val="67482183"/>
    <w:rsid w:val="68061991"/>
    <w:rsid w:val="68C4766D"/>
    <w:rsid w:val="699E3C16"/>
    <w:rsid w:val="6A570ABB"/>
    <w:rsid w:val="6AF1268D"/>
    <w:rsid w:val="6B050AB7"/>
    <w:rsid w:val="6B3514A7"/>
    <w:rsid w:val="6B490D9E"/>
    <w:rsid w:val="711B3C4E"/>
    <w:rsid w:val="72C56D85"/>
    <w:rsid w:val="7382692A"/>
    <w:rsid w:val="73E14E12"/>
    <w:rsid w:val="7443040B"/>
    <w:rsid w:val="78A6109C"/>
    <w:rsid w:val="7A5E4A64"/>
    <w:rsid w:val="7BAB1AAD"/>
    <w:rsid w:val="7BB323F5"/>
    <w:rsid w:val="7CA4581D"/>
    <w:rsid w:val="7D4E22FA"/>
    <w:rsid w:val="7D602C3C"/>
    <w:rsid w:val="7D672148"/>
    <w:rsid w:val="7E1213C0"/>
    <w:rsid w:val="7E3D5ECB"/>
    <w:rsid w:val="7EB7A8BF"/>
    <w:rsid w:val="7EE99E3D"/>
    <w:rsid w:val="BFEE8AE8"/>
    <w:rsid w:val="F3AF94D6"/>
    <w:rsid w:val="F7CED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417"/>
      <w:outlineLvl w:val="0"/>
    </w:pPr>
    <w:rPr>
      <w:rFonts w:ascii="Microsoft JhengHei" w:hAnsi="Microsoft JhengHei" w:eastAsia="Microsoft JhengHei" w:cs="Microsoft JhengHei"/>
      <w:b/>
      <w:bCs/>
      <w:sz w:val="30"/>
      <w:szCs w:val="30"/>
      <w:lang w:val="zh-CN" w:bidi="zh-CN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</w:rPr>
  </w:style>
  <w:style w:type="paragraph" w:styleId="5">
    <w:name w:val="heading 4"/>
    <w:basedOn w:val="1"/>
    <w:next w:val="1"/>
    <w:qFormat/>
    <w:uiPriority w:val="0"/>
    <w:pPr>
      <w:outlineLvl w:val="3"/>
    </w:pPr>
    <w:rPr>
      <w:rFonts w:ascii="Arial" w:hAnsi="Arial" w:eastAsia="黑体"/>
      <w:b/>
      <w:sz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8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1">
    <w:name w:val="toc 1"/>
    <w:basedOn w:val="1"/>
    <w:next w:val="1"/>
    <w:qFormat/>
    <w:uiPriority w:val="39"/>
  </w:style>
  <w:style w:type="paragraph" w:styleId="12">
    <w:name w:val="toc 2"/>
    <w:basedOn w:val="1"/>
    <w:next w:val="1"/>
    <w:qFormat/>
    <w:uiPriority w:val="39"/>
    <w:pPr>
      <w:ind w:left="420" w:leftChars="200"/>
    </w:p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Body Text First Indent"/>
    <w:basedOn w:val="7"/>
    <w:semiHidden/>
    <w:unhideWhenUsed/>
    <w:qFormat/>
    <w:uiPriority w:val="99"/>
    <w:pPr>
      <w:ind w:firstLine="360"/>
    </w:pPr>
  </w:style>
  <w:style w:type="paragraph" w:styleId="15">
    <w:name w:val="Body Text First Indent 2"/>
    <w:basedOn w:val="8"/>
    <w:qFormat/>
    <w:uiPriority w:val="0"/>
    <w:pPr>
      <w:ind w:firstLine="420"/>
    </w:pPr>
    <w:rPr>
      <w:rFonts w:eastAsia="Times New Roman"/>
      <w:lang w:eastAsia="en-US" w:bidi="en-US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Hyperlink"/>
    <w:basedOn w:val="18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rPr>
      <w:rFonts w:ascii="仿宋" w:hAnsi="仿宋" w:eastAsia="仿宋" w:cs="仿宋"/>
      <w:sz w:val="24"/>
      <w:lang w:eastAsia="en-US"/>
    </w:rPr>
  </w:style>
  <w:style w:type="character" w:customStyle="1" w:styleId="23">
    <w:name w:val="NormalCharacter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4">
    <w:name w:val="WPSOffice手动目录 1"/>
    <w:qFormat/>
    <w:uiPriority w:val="0"/>
    <w:pPr>
      <w:spacing w:after="160" w:line="278" w:lineRule="auto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WPSOffice手动目录 2"/>
    <w:qFormat/>
    <w:uiPriority w:val="0"/>
    <w:pPr>
      <w:spacing w:after="160" w:line="278" w:lineRule="auto"/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6">
    <w:name w:val="Table Paragraph"/>
    <w:basedOn w:val="1"/>
    <w:qFormat/>
    <w:uiPriority w:val="1"/>
    <w:rPr>
      <w:rFonts w:ascii="仿宋" w:eastAsia="仿宋" w:cs="仿宋"/>
      <w:sz w:val="24"/>
      <w:szCs w:val="24"/>
    </w:rPr>
  </w:style>
  <w:style w:type="character" w:customStyle="1" w:styleId="27">
    <w:name w:val="font41"/>
    <w:basedOn w:val="18"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28">
    <w:name w:val="font21"/>
    <w:basedOn w:val="18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User</Company>
  <Pages>16</Pages>
  <Words>2639</Words>
  <Characters>2717</Characters>
  <Lines>51</Lines>
  <Paragraphs>14</Paragraphs>
  <TotalTime>0</TotalTime>
  <ScaleCrop>false</ScaleCrop>
  <LinksUpToDate>false</LinksUpToDate>
  <CharactersWithSpaces>2779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2026-07-03T01:54:00Z</dcterms:created>
  <dc:creator>舍得</dc:creator>
  <cp:lastModifiedBy>小乐多。。</cp:lastModifiedBy>
  <cp:lastPrinted>2026-07-06T01:25:01Z</cp:lastPrinted>
  <dcterms:modified xsi:type="dcterms:W3CDTF">2026-07-06T02:04:21Z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2EA72B0C5284471AA2E2B565D39670CF_13</vt:lpwstr>
  </property>
  <property fmtid="{D5CDD505-2E9C-101B-9397-08002B2CF9AE}" pid="4" name="KSOTemplateDocerSaveRecord">
    <vt:lpwstr>eyJoZGlkIjoiMzZmMzJmMzdiOTE4ZWY4YWEzNTc3ODNlZWZmYzlmZTMiLCJ1c2VySWQiOiI4NzE4NjU1MjkifQ==</vt:lpwstr>
  </property>
</Properties>
</file>