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1890"/>
        </w:tabs>
        <w:kinsoku/>
        <w:wordWrap/>
        <w:overflowPunct/>
        <w:topLinePunct w:val="0"/>
        <w:autoSpaceDE w:val="0"/>
        <w:autoSpaceDN w:val="0"/>
        <w:bidi w:val="0"/>
        <w:adjustRightInd w:val="0"/>
        <w:snapToGrid/>
        <w:spacing w:line="600" w:lineRule="exact"/>
        <w:jc w:val="center"/>
        <w:textAlignment w:val="auto"/>
        <w:rPr>
          <w:rFonts w:hint="default" w:ascii="方正小标宋简体" w:hAnsi="方正小标宋简体" w:eastAsia="方正小标宋简体" w:cs="方正小标宋简体"/>
          <w:color w:val="000000"/>
          <w:spacing w:val="-17"/>
          <w:sz w:val="36"/>
          <w:szCs w:val="36"/>
          <w:highlight w:val="none"/>
          <w:lang w:val="en-US"/>
        </w:rPr>
      </w:pPr>
      <w:r>
        <w:rPr>
          <w:rFonts w:hint="eastAsia" w:ascii="方正小标宋简体" w:hAnsi="方正小标宋简体" w:eastAsia="方正小标宋简体" w:cs="方正小标宋简体"/>
          <w:spacing w:val="0"/>
          <w:kern w:val="0"/>
          <w:sz w:val="44"/>
          <w:szCs w:val="44"/>
          <w:lang w:val="en-US" w:eastAsia="zh-CN"/>
        </w:rPr>
        <w:t>苏州市林</w:t>
      </w:r>
      <w:r>
        <w:rPr>
          <w:rFonts w:hint="default" w:ascii="Times New Roman" w:hAnsi="Times New Roman" w:eastAsia="方正小标宋简体" w:cs="Times New Roman"/>
          <w:spacing w:val="0"/>
          <w:kern w:val="0"/>
          <w:sz w:val="44"/>
          <w:szCs w:val="44"/>
          <w:lang w:val="en-US" w:eastAsia="zh-CN"/>
        </w:rPr>
        <w:t>业站2026年市本级古树名木普查项目</w:t>
      </w:r>
      <w:r>
        <w:rPr>
          <w:rFonts w:hint="eastAsia" w:eastAsia="方正小标宋简体" w:cs="Times New Roman"/>
          <w:spacing w:val="0"/>
          <w:kern w:val="0"/>
          <w:sz w:val="44"/>
          <w:szCs w:val="44"/>
          <w:lang w:val="en-US" w:eastAsia="zh-CN"/>
        </w:rPr>
        <w:t>辅助性工作</w:t>
      </w:r>
      <w:r>
        <w:rPr>
          <w:rFonts w:hint="eastAsia" w:ascii="方正小标宋简体" w:hAnsi="方正小标宋简体" w:eastAsia="方正小标宋简体" w:cs="方正小标宋简体"/>
          <w:spacing w:val="0"/>
          <w:kern w:val="0"/>
          <w:sz w:val="44"/>
          <w:szCs w:val="44"/>
          <w:highlight w:val="none"/>
          <w:lang w:val="en-US" w:eastAsia="zh-CN"/>
        </w:rPr>
        <w:t>竞争性磋商采购公告</w:t>
      </w:r>
    </w:p>
    <w:p>
      <w:pPr>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ascii="黑体" w:hAnsi="黑体" w:eastAsia="黑体" w:cs="华文中宋"/>
          <w:color w:val="000000"/>
          <w:sz w:val="36"/>
          <w:szCs w:val="36"/>
          <w:highlight w:val="none"/>
          <w:lang w:val="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为精准支撑苏州市古树名木</w:t>
      </w:r>
      <w:r>
        <w:rPr>
          <w:rFonts w:hint="eastAsia" w:eastAsia="仿宋_GB2312" w:cs="Times New Roman"/>
          <w:sz w:val="32"/>
          <w:szCs w:val="32"/>
          <w:highlight w:val="none"/>
          <w:lang w:val="en-US" w:eastAsia="zh-CN"/>
        </w:rPr>
        <w:t>资源普查</w:t>
      </w:r>
      <w:r>
        <w:rPr>
          <w:rFonts w:hint="default" w:ascii="Times New Roman" w:hAnsi="Times New Roman" w:eastAsia="仿宋_GB2312" w:cs="Times New Roman"/>
          <w:sz w:val="32"/>
          <w:szCs w:val="32"/>
          <w:highlight w:val="none"/>
        </w:rPr>
        <w:t>工作，苏州市林业站拟邀请具有相关条件并有意向的优质供应商参加苏州市林业站</w:t>
      </w:r>
      <w:r>
        <w:rPr>
          <w:rFonts w:hint="default" w:ascii="Times New Roman" w:hAnsi="Times New Roman" w:eastAsia="仿宋_GB2312" w:cs="Times New Roman"/>
          <w:sz w:val="32"/>
          <w:szCs w:val="32"/>
          <w:highlight w:val="none"/>
          <w:lang w:val="en-US" w:eastAsia="zh-CN"/>
        </w:rPr>
        <w:t>2026年市本级古树名木普查项目</w:t>
      </w:r>
      <w:r>
        <w:rPr>
          <w:rFonts w:hint="eastAsia" w:eastAsia="仿宋_GB2312" w:cs="Times New Roman"/>
          <w:sz w:val="32"/>
          <w:szCs w:val="32"/>
          <w:highlight w:val="none"/>
          <w:lang w:val="en-US" w:eastAsia="zh-CN"/>
        </w:rPr>
        <w:t>辅助性工作</w:t>
      </w:r>
      <w:r>
        <w:rPr>
          <w:rFonts w:hint="default" w:ascii="Times New Roman" w:hAnsi="Times New Roman" w:eastAsia="仿宋_GB2312" w:cs="Times New Roman"/>
          <w:sz w:val="32"/>
          <w:szCs w:val="32"/>
          <w:highlight w:val="none"/>
        </w:rPr>
        <w:t>竞争性磋商。现将有关事项说明如下：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highlight w:val="none"/>
          <w:lang w:val="en-US"/>
        </w:rPr>
      </w:pPr>
      <w:r>
        <w:rPr>
          <w:rFonts w:hint="eastAsia"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项目名称：</w:t>
      </w:r>
      <w:r>
        <w:rPr>
          <w:rFonts w:hint="default" w:ascii="Times New Roman" w:hAnsi="Times New Roman" w:eastAsia="仿宋_GB2312" w:cs="Times New Roman"/>
          <w:sz w:val="32"/>
          <w:szCs w:val="32"/>
          <w:highlight w:val="none"/>
          <w:lang w:val="en-US" w:eastAsia="zh-CN"/>
        </w:rPr>
        <w:t>2026年市本级古树名木普查项目</w:t>
      </w:r>
      <w:r>
        <w:rPr>
          <w:rFonts w:hint="eastAsia" w:eastAsia="仿宋_GB2312" w:cs="Times New Roman"/>
          <w:sz w:val="32"/>
          <w:szCs w:val="32"/>
          <w:highlight w:val="none"/>
          <w:lang w:val="en-US" w:eastAsia="zh-CN"/>
        </w:rPr>
        <w:t>辅助性工作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采购方式：</w:t>
      </w:r>
      <w:r>
        <w:rPr>
          <w:rFonts w:hint="default" w:eastAsia="仿宋_GB2312"/>
          <w:sz w:val="32"/>
          <w:szCs w:val="32"/>
          <w:highlight w:val="none"/>
        </w:rPr>
        <w:t>竞争性磋商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预算金额：</w:t>
      </w:r>
      <w:r>
        <w:rPr>
          <w:rFonts w:hint="eastAsia" w:eastAsia="仿宋_GB2312" w:cs="Times New Roman"/>
          <w:sz w:val="32"/>
          <w:szCs w:val="32"/>
          <w:lang w:val="en-US" w:eastAsia="zh-CN"/>
        </w:rPr>
        <w:t>6.0</w:t>
      </w:r>
      <w:r>
        <w:rPr>
          <w:rFonts w:hint="default" w:ascii="Times New Roman" w:hAnsi="Times New Roman" w:eastAsia="仿宋_GB2312" w:cs="Times New Roman"/>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最高限价：</w:t>
      </w:r>
      <w:r>
        <w:rPr>
          <w:rFonts w:hint="eastAsia" w:eastAsia="仿宋_GB2312" w:cs="Times New Roman"/>
          <w:sz w:val="32"/>
          <w:szCs w:val="32"/>
          <w:lang w:val="en-US" w:eastAsia="zh-CN"/>
        </w:rPr>
        <w:t>6.0</w:t>
      </w:r>
      <w:r>
        <w:rPr>
          <w:rFonts w:hint="default" w:ascii="Times New Roman" w:hAnsi="Times New Roman" w:eastAsia="仿宋_GB2312" w:cs="Times New Roman"/>
          <w:sz w:val="32"/>
          <w:szCs w:val="32"/>
        </w:rPr>
        <w:t>万元（超过限价为无效响应）</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default" w:ascii="Times New Roman" w:hAnsi="Times New Roman" w:eastAsia="仿宋_GB2312" w:cs="Times New Roman"/>
          <w:sz w:val="32"/>
          <w:szCs w:val="32"/>
        </w:rPr>
      </w:pPr>
      <w:bookmarkStart w:id="0" w:name="heading_3"/>
      <w:r>
        <w:rPr>
          <w:rFonts w:hint="default" w:ascii="Times New Roman" w:hAnsi="Times New Roman" w:eastAsia="仿宋_GB2312" w:cs="Times New Roman"/>
          <w:sz w:val="32"/>
          <w:szCs w:val="32"/>
          <w:lang w:val="en-US" w:eastAsia="zh-CN"/>
        </w:rPr>
        <w:t>5.服</w:t>
      </w:r>
      <w:r>
        <w:rPr>
          <w:rFonts w:hint="default" w:ascii="Times New Roman" w:hAnsi="Times New Roman" w:eastAsia="仿宋_GB2312" w:cs="Times New Roman"/>
          <w:sz w:val="32"/>
          <w:szCs w:val="32"/>
        </w:rPr>
        <w:t>务周期：2026年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月—2026年</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月（合同签订之日起至项目验收通过）</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6.服</w:t>
      </w:r>
      <w:r>
        <w:rPr>
          <w:rFonts w:hint="default" w:ascii="Times New Roman" w:hAnsi="Times New Roman" w:eastAsia="仿宋_GB2312" w:cs="Times New Roman"/>
          <w:sz w:val="32"/>
          <w:szCs w:val="32"/>
        </w:rPr>
        <w:t>务地点：</w:t>
      </w:r>
      <w:r>
        <w:rPr>
          <w:rFonts w:hint="default" w:ascii="Times New Roman" w:hAnsi="Times New Roman" w:eastAsia="仿宋_GB2312" w:cs="Times New Roman"/>
          <w:sz w:val="32"/>
          <w:szCs w:val="32"/>
          <w:lang w:val="en-US" w:eastAsia="zh-CN"/>
        </w:rPr>
        <w:t>苏州市范围内</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kern w:val="0"/>
          <w:sz w:val="32"/>
          <w:szCs w:val="32"/>
          <w:highlight w:val="none"/>
        </w:rPr>
      </w:pPr>
      <w:r>
        <w:rPr>
          <w:rFonts w:hint="eastAsia" w:ascii="黑体" w:hAnsi="黑体" w:eastAsia="黑体" w:cs="黑体"/>
          <w:b w:val="0"/>
          <w:bCs/>
          <w:color w:val="auto"/>
          <w:kern w:val="0"/>
          <w:sz w:val="32"/>
          <w:szCs w:val="32"/>
          <w:highlight w:val="none"/>
        </w:rPr>
        <w:t>二、采购需求</w:t>
      </w:r>
      <w:bookmarkEnd w:id="0"/>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b w:val="0"/>
          <w:bCs/>
          <w:color w:val="auto"/>
          <w:kern w:val="0"/>
          <w:sz w:val="32"/>
          <w:szCs w:val="32"/>
          <w:highlight w:val="none"/>
        </w:rPr>
      </w:pPr>
      <w:r>
        <w:rPr>
          <w:rFonts w:hint="default" w:ascii="Times New Roman" w:hAnsi="Times New Roman" w:eastAsia="仿宋_GB2312" w:cs="Times New Roman"/>
          <w:b w:val="0"/>
          <w:bCs/>
          <w:color w:val="auto"/>
          <w:kern w:val="0"/>
          <w:sz w:val="32"/>
          <w:szCs w:val="32"/>
          <w:highlight w:val="none"/>
        </w:rPr>
        <w:t>供应商须</w:t>
      </w:r>
      <w:r>
        <w:rPr>
          <w:rFonts w:hint="eastAsia" w:ascii="仿宋_GB2312" w:hAnsi="仿宋_GB2312" w:eastAsia="仿宋_GB2312" w:cs="仿宋_GB2312"/>
          <w:color w:val="auto"/>
          <w:kern w:val="0"/>
          <w:sz w:val="32"/>
          <w:szCs w:val="32"/>
          <w:highlight w:val="none"/>
          <w:lang w:val="en-US" w:eastAsia="zh-CN"/>
        </w:rPr>
        <w:t>组建专业工作团队，</w:t>
      </w:r>
      <w:r>
        <w:rPr>
          <w:rFonts w:hint="default" w:ascii="Times New Roman" w:hAnsi="Times New Roman" w:eastAsia="仿宋_GB2312" w:cs="Times New Roman"/>
          <w:b w:val="0"/>
          <w:bCs/>
          <w:color w:val="auto"/>
          <w:kern w:val="0"/>
          <w:sz w:val="32"/>
          <w:szCs w:val="32"/>
          <w:highlight w:val="none"/>
        </w:rPr>
        <w:t>提供</w:t>
      </w:r>
      <w:r>
        <w:rPr>
          <w:rFonts w:hint="default" w:ascii="Times New Roman" w:hAnsi="Times New Roman" w:eastAsia="仿宋_GB2312" w:cs="Times New Roman"/>
          <w:b w:val="0"/>
          <w:bCs/>
          <w:color w:val="auto"/>
          <w:kern w:val="0"/>
          <w:sz w:val="32"/>
          <w:szCs w:val="32"/>
        </w:rPr>
        <w:t>2026年市本级古树名木普查</w:t>
      </w:r>
      <w:r>
        <w:rPr>
          <w:rFonts w:hint="eastAsia" w:eastAsia="仿宋_GB2312" w:cs="Times New Roman"/>
          <w:b w:val="0"/>
          <w:bCs/>
          <w:color w:val="auto"/>
          <w:kern w:val="0"/>
          <w:sz w:val="32"/>
          <w:szCs w:val="32"/>
          <w:highlight w:val="none"/>
          <w:lang w:val="en-US" w:eastAsia="zh-CN"/>
        </w:rPr>
        <w:t>项目</w:t>
      </w:r>
      <w:r>
        <w:rPr>
          <w:rFonts w:hint="default" w:ascii="Times New Roman" w:hAnsi="Times New Roman" w:eastAsia="仿宋_GB2312" w:cs="Times New Roman"/>
          <w:b w:val="0"/>
          <w:bCs/>
          <w:color w:val="auto"/>
          <w:kern w:val="0"/>
          <w:sz w:val="32"/>
          <w:szCs w:val="32"/>
          <w:highlight w:val="none"/>
        </w:rPr>
        <w:t>辅助技术服务，具体包括：</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1</w:t>
      </w:r>
      <w:r>
        <w:rPr>
          <w:rFonts w:hint="eastAsia" w:ascii="仿宋_GB2312" w:hAnsi="仿宋_GB2312" w:eastAsia="仿宋_GB2312" w:cs="仿宋_GB2312"/>
          <w:color w:val="auto"/>
          <w:kern w:val="0"/>
          <w:sz w:val="32"/>
          <w:szCs w:val="32"/>
          <w:highlight w:val="none"/>
          <w:lang w:val="en-US" w:eastAsia="zh-CN"/>
        </w:rPr>
        <w:t>.配合开展外业核查辅助性工作，</w:t>
      </w:r>
      <w:r>
        <w:rPr>
          <w:rFonts w:hint="eastAsia" w:ascii="Times New Roman" w:hAnsi="Times New Roman" w:eastAsia="仿宋_GB2312" w:cs="Times New Roman"/>
          <w:kern w:val="0"/>
          <w:sz w:val="32"/>
          <w:szCs w:val="32"/>
          <w:lang w:val="en-US" w:eastAsia="zh-CN"/>
        </w:rPr>
        <w:t>按照</w:t>
      </w:r>
      <w:r>
        <w:rPr>
          <w:rFonts w:hint="eastAsia" w:ascii="Times New Roman" w:hAnsi="Times New Roman" w:eastAsia="仿宋_GB2312" w:cs="Times New Roman"/>
          <w:kern w:val="0"/>
          <w:sz w:val="32"/>
          <w:szCs w:val="32"/>
          <w:lang w:val="en-US" w:eastAsia="zh-CN" w:bidi="ar-SA"/>
        </w:rPr>
        <w:t>比列不低于散生古树名木株树、古树群个数4%开展市级查验，</w:t>
      </w:r>
      <w:r>
        <w:rPr>
          <w:rFonts w:hint="eastAsia" w:ascii="仿宋_GB2312" w:hAnsi="仿宋_GB2312" w:eastAsia="仿宋_GB2312" w:cs="仿宋_GB2312"/>
          <w:color w:val="auto"/>
          <w:kern w:val="0"/>
          <w:sz w:val="32"/>
          <w:szCs w:val="32"/>
          <w:highlight w:val="none"/>
          <w:lang w:val="en-US" w:eastAsia="zh-CN"/>
        </w:rPr>
        <w:t>核查内容包括地理位置、树种、树龄、测树因子、生长势、生长环境、保护措施等信息</w:t>
      </w:r>
      <w:r>
        <w:rPr>
          <w:rFonts w:hint="default" w:ascii="Times New Roman" w:hAnsi="Times New Roman" w:eastAsia="仿宋_GB2312" w:cs="Times New Roman"/>
          <w:b w:val="0"/>
          <w:bCs/>
          <w:color w:val="auto"/>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val="0"/>
          <w:bCs/>
          <w:color w:val="auto"/>
          <w:kern w:val="0"/>
          <w:sz w:val="32"/>
          <w:szCs w:val="32"/>
          <w:highlight w:val="none"/>
          <w:lang w:val="en-US" w:eastAsia="zh-CN"/>
        </w:rPr>
        <w:t>2</w:t>
      </w:r>
      <w:r>
        <w:rPr>
          <w:rFonts w:hint="eastAsia" w:ascii="仿宋_GB2312" w:hAnsi="仿宋_GB2312" w:eastAsia="仿宋_GB2312" w:cs="仿宋_GB2312"/>
          <w:b w:val="0"/>
          <w:bCs/>
          <w:color w:val="auto"/>
          <w:kern w:val="0"/>
          <w:sz w:val="32"/>
          <w:szCs w:val="32"/>
          <w:highlight w:val="none"/>
          <w:lang w:val="en-US" w:eastAsia="zh-CN"/>
        </w:rPr>
        <w:t>.配合开展</w:t>
      </w:r>
      <w:r>
        <w:rPr>
          <w:rFonts w:hint="eastAsia" w:ascii="Times New Roman" w:hAnsi="Times New Roman" w:eastAsia="仿宋_GB2312" w:cs="Times New Roman"/>
          <w:b w:val="0"/>
          <w:bCs/>
          <w:color w:val="auto"/>
          <w:kern w:val="0"/>
          <w:sz w:val="32"/>
          <w:szCs w:val="32"/>
          <w:highlight w:val="none"/>
          <w:lang w:eastAsia="zh-CN"/>
        </w:rPr>
        <w:t>内业复核</w:t>
      </w:r>
      <w:r>
        <w:rPr>
          <w:rFonts w:hint="eastAsia" w:ascii="Times New Roman" w:hAnsi="Times New Roman" w:eastAsia="仿宋_GB2312" w:cs="Times New Roman"/>
          <w:b w:val="0"/>
          <w:bCs/>
          <w:color w:val="auto"/>
          <w:kern w:val="0"/>
          <w:sz w:val="32"/>
          <w:szCs w:val="32"/>
          <w:highlight w:val="none"/>
          <w:lang w:val="en-US" w:eastAsia="zh-CN"/>
        </w:rPr>
        <w:t>辅助性工作</w:t>
      </w:r>
      <w:r>
        <w:rPr>
          <w:rFonts w:hint="eastAsia" w:ascii="Times New Roman" w:hAnsi="Times New Roman" w:eastAsia="仿宋_GB2312" w:cs="Times New Roman"/>
          <w:b w:val="0"/>
          <w:bCs/>
          <w:color w:val="auto"/>
          <w:kern w:val="0"/>
          <w:sz w:val="32"/>
          <w:szCs w:val="32"/>
          <w:highlight w:val="none"/>
          <w:lang w:eastAsia="zh-CN"/>
        </w:rPr>
        <w:t>，对10个县级市（区）及局直属单位提交的古树名木普查数据进行全量审</w:t>
      </w:r>
      <w:r>
        <w:rPr>
          <w:rFonts w:hint="eastAsia" w:ascii="Times New Roman" w:hAnsi="Times New Roman" w:eastAsia="仿宋_GB2312" w:cs="Times New Roman"/>
          <w:kern w:val="0"/>
          <w:sz w:val="32"/>
          <w:szCs w:val="32"/>
          <w:lang w:val="en-US" w:eastAsia="zh-CN" w:bidi="ar-SA"/>
        </w:rPr>
        <w:t>核，审核内容包括对古树名木（古树群）编号合规性、经纬度与行政区划一致性、树种分类系统一致性、树龄和测树因子数值合理性、古树群调查样本合规性、空间位置精度、数据缺失情况、照片是否符合要求等</w:t>
      </w:r>
      <w:r>
        <w:rPr>
          <w:rFonts w:hint="default" w:ascii="Times New Roman" w:hAnsi="Times New Roman" w:eastAsia="仿宋_GB2312" w:cs="Times New Roman"/>
          <w:kern w:val="0"/>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Times New Roman" w:hAnsi="Times New Roman" w:eastAsia="仿宋_GB2312" w:cs="Times New Roman"/>
          <w:b w:val="0"/>
          <w:bCs/>
          <w:color w:val="auto"/>
          <w:kern w:val="0"/>
          <w:sz w:val="32"/>
          <w:szCs w:val="32"/>
          <w:highlight w:val="none"/>
          <w:lang w:val="en-US" w:eastAsia="zh-CN"/>
        </w:rPr>
        <w:t>3</w:t>
      </w:r>
      <w:r>
        <w:rPr>
          <w:rFonts w:hint="eastAsia" w:ascii="仿宋_GB2312" w:hAnsi="仿宋_GB2312" w:eastAsia="仿宋_GB2312" w:cs="仿宋_GB2312"/>
          <w:b w:val="0"/>
          <w:bCs/>
          <w:color w:val="auto"/>
          <w:kern w:val="0"/>
          <w:sz w:val="32"/>
          <w:szCs w:val="32"/>
          <w:highlight w:val="none"/>
          <w:lang w:val="en-US" w:eastAsia="zh-CN"/>
        </w:rPr>
        <w:t>.</w:t>
      </w:r>
      <w:r>
        <w:rPr>
          <w:rFonts w:hint="eastAsia" w:ascii="Times New Roman" w:hAnsi="Times New Roman" w:eastAsia="仿宋_GB2312" w:cs="Times New Roman"/>
          <w:b w:val="0"/>
          <w:bCs/>
          <w:color w:val="auto"/>
          <w:kern w:val="0"/>
          <w:sz w:val="32"/>
          <w:szCs w:val="32"/>
          <w:highlight w:val="none"/>
          <w:lang w:val="en-US" w:eastAsia="zh-CN"/>
        </w:rPr>
        <w:t>配合开展成果汇总辅助性工作，汇总形成全市古树名木名录、数据库、统计表、专题图等基础成果</w:t>
      </w:r>
      <w:r>
        <w:rPr>
          <w:rFonts w:hint="default" w:ascii="Times New Roman" w:hAnsi="Times New Roman" w:eastAsia="仿宋_GB2312" w:cs="Times New Roman"/>
          <w:b w:val="0"/>
          <w:bCs/>
          <w:color w:val="auto"/>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、报价须知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（一）供应商资格要求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需满足《中华人民共和国政府采购法》第二十二条规定的要求，同时满足以下条件：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1.单位负责人为同一人或者存在直接控股、管理关系的不同供应商，不得参加同一合同项下的采购活动。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2.具有独立承担民事责任能力；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4.具有履行合同所必需的设备、人员和专业技术能力；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6.参加采购活动前三年内，在经营活动中没有违法记录</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（二）评标标准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1.在符合或高于采购文件各项要求的情况下，采购人考虑价格、承诺、</w:t>
      </w:r>
      <w:r>
        <w:rPr>
          <w:rFonts w:hint="eastAsia" w:eastAsia="仿宋_GB2312" w:cs="Times New Roman"/>
          <w:sz w:val="32"/>
          <w:szCs w:val="32"/>
          <w:lang w:val="en-US" w:eastAsia="zh-CN"/>
        </w:rPr>
        <w:t>售后保障</w:t>
      </w:r>
      <w:r>
        <w:rPr>
          <w:rFonts w:hint="default" w:ascii="Times New Roman" w:hAnsi="Times New Roman" w:eastAsia="仿宋_GB2312" w:cs="Times New Roman"/>
          <w:sz w:val="32"/>
          <w:szCs w:val="32"/>
        </w:rPr>
        <w:t>等综合因素择优选择供应商。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2.供应商报价和承诺一经认可，即为成交的合同价；供应商如对本询价函报价，即不可撤回。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3.报价标准：本次采购最高限价不超过</w:t>
      </w:r>
      <w:r>
        <w:rPr>
          <w:rFonts w:hint="eastAsia" w:eastAsia="仿宋_GB2312" w:cs="Times New Roman"/>
          <w:sz w:val="32"/>
          <w:szCs w:val="32"/>
          <w:lang w:val="en-US" w:eastAsia="zh-CN"/>
        </w:rPr>
        <w:t>人民币6.0</w:t>
      </w:r>
      <w:r>
        <w:rPr>
          <w:rFonts w:hint="default" w:ascii="Times New Roman" w:hAnsi="Times New Roman" w:eastAsia="仿宋_GB2312" w:cs="Times New Roman"/>
          <w:sz w:val="32"/>
          <w:szCs w:val="32"/>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4.本项目不接受联合体投标</w:t>
      </w:r>
      <w:r>
        <w:rPr>
          <w:rFonts w:hint="eastAsia" w:eastAsia="仿宋_GB2312" w:cs="Times New Roman"/>
          <w:sz w:val="32"/>
          <w:szCs w:val="32"/>
          <w:lang w:eastAsia="zh-CN"/>
        </w:rPr>
        <w:t>且</w:t>
      </w:r>
      <w:r>
        <w:rPr>
          <w:rFonts w:hint="default" w:ascii="Times New Roman" w:hAnsi="Times New Roman" w:eastAsia="仿宋_GB2312" w:cs="Times New Roman"/>
          <w:sz w:val="32"/>
          <w:szCs w:val="32"/>
        </w:rPr>
        <w:t>不得分包</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各供应商的报价应包含成本、利润、</w:t>
      </w:r>
      <w:r>
        <w:rPr>
          <w:rFonts w:hint="eastAsia" w:eastAsia="仿宋_GB2312" w:cs="Times New Roman"/>
          <w:sz w:val="32"/>
          <w:szCs w:val="32"/>
          <w:lang w:eastAsia="zh-CN"/>
        </w:rPr>
        <w:t>人员费用、</w:t>
      </w:r>
      <w:r>
        <w:rPr>
          <w:rFonts w:hint="default" w:ascii="Times New Roman" w:hAnsi="Times New Roman" w:eastAsia="仿宋_GB2312" w:cs="Times New Roman"/>
          <w:sz w:val="32"/>
          <w:szCs w:val="32"/>
        </w:rPr>
        <w:t>税金等所有费用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因供应商自身原因造成漏报、少报皆由供应商自行承担责任。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rPr>
        <w:t>（三）材料要求及报送方式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1.供应商根据我单位采购服务要求，提供一次性书面报价</w:t>
      </w:r>
      <w:r>
        <w:rPr>
          <w:rFonts w:hint="eastAsia" w:eastAsia="仿宋_GB2312" w:cs="Times New Roman"/>
          <w:sz w:val="32"/>
          <w:szCs w:val="32"/>
          <w:lang w:eastAsia="zh-CN"/>
        </w:rPr>
        <w:t>、</w:t>
      </w:r>
      <w:r>
        <w:rPr>
          <w:rFonts w:hint="eastAsia" w:eastAsia="仿宋_GB2312" w:cs="Times New Roman"/>
          <w:sz w:val="32"/>
          <w:szCs w:val="32"/>
          <w:lang w:val="en-US" w:eastAsia="zh-CN"/>
        </w:rPr>
        <w:t>产品参数、</w:t>
      </w:r>
      <w:r>
        <w:rPr>
          <w:rFonts w:hint="default" w:ascii="Times New Roman" w:hAnsi="Times New Roman" w:eastAsia="仿宋_GB2312" w:cs="Times New Roman"/>
          <w:sz w:val="32"/>
          <w:szCs w:val="32"/>
        </w:rPr>
        <w:t>服务承诺</w:t>
      </w:r>
      <w:r>
        <w:rPr>
          <w:rFonts w:hint="eastAsia" w:eastAsia="仿宋_GB2312" w:cs="Times New Roman"/>
          <w:sz w:val="32"/>
          <w:szCs w:val="32"/>
          <w:lang w:val="en-US" w:eastAsia="zh-CN"/>
        </w:rPr>
        <w:t>和售后保障</w:t>
      </w:r>
      <w:r>
        <w:rPr>
          <w:rFonts w:hint="default" w:ascii="Times New Roman" w:hAnsi="Times New Roman" w:eastAsia="仿宋_GB2312" w:cs="Times New Roman"/>
          <w:sz w:val="32"/>
          <w:szCs w:val="32"/>
        </w:rPr>
        <w:t>等材料；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2.法定代表人身份证复印件；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3.营业执照复印件、股东信息；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4.</w:t>
      </w:r>
      <w:r>
        <w:rPr>
          <w:rFonts w:hint="eastAsia" w:eastAsia="仿宋_GB2312" w:cs="Times New Roman"/>
          <w:sz w:val="32"/>
          <w:szCs w:val="32"/>
          <w:lang w:val="en-US" w:eastAsia="zh-CN"/>
        </w:rPr>
        <w:t>年度年财务状况报告（表）复印件，新成立不足1年的公司提供投标截止时间前一个月的财务状况报告（表）复印件或提供诚信声明；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5.年度纳税记录复印件</w:t>
      </w:r>
      <w:r>
        <w:rPr>
          <w:rFonts w:hint="eastAsia" w:eastAsia="仿宋_GB2312" w:cs="Times New Roman"/>
          <w:sz w:val="32"/>
          <w:szCs w:val="32"/>
          <w:lang w:eastAsia="zh-CN"/>
        </w:rPr>
        <w:t>及社保缴纳记录的复印件</w:t>
      </w:r>
      <w:r>
        <w:rPr>
          <w:rFonts w:hint="eastAsia" w:eastAsia="仿宋_GB2312" w:cs="Times New Roman"/>
          <w:sz w:val="32"/>
          <w:szCs w:val="32"/>
          <w:lang w:val="en-US" w:eastAsia="zh-CN"/>
        </w:rPr>
        <w:t>，新成立不足1年的公司提供提交响应文件截止时间前一个月的纳税记录复印件或提供诚信声明；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以上</w:t>
      </w:r>
      <w:r>
        <w:rPr>
          <w:rFonts w:hint="default" w:ascii="Times New Roman" w:hAnsi="Times New Roman" w:eastAsia="仿宋_GB2312" w:cs="Times New Roman"/>
          <w:sz w:val="32"/>
          <w:szCs w:val="32"/>
          <w:highlight w:val="none"/>
        </w:rPr>
        <w:t>所有报名资料复印件均需加盖公章</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材料一式两份密封报送。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四</w:t>
      </w:r>
      <w:r>
        <w:rPr>
          <w:rFonts w:hint="eastAsia" w:ascii="楷体" w:hAnsi="楷体" w:eastAsia="楷体" w:cs="楷体"/>
          <w:b/>
          <w:bCs/>
          <w:sz w:val="32"/>
          <w:szCs w:val="32"/>
          <w:highlight w:val="none"/>
        </w:rPr>
        <w:t>）</w:t>
      </w:r>
      <w:r>
        <w:rPr>
          <w:rFonts w:hint="eastAsia" w:ascii="楷体" w:hAnsi="楷体" w:eastAsia="楷体" w:cs="楷体"/>
          <w:b/>
          <w:bCs/>
          <w:sz w:val="32"/>
          <w:szCs w:val="32"/>
          <w:highlight w:val="none"/>
          <w:lang w:eastAsia="zh-CN"/>
        </w:rPr>
        <w:t>无效投标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highlight w:val="none"/>
        </w:rPr>
      </w:pPr>
      <w:r>
        <w:rPr>
          <w:rFonts w:hint="default" w:eastAsia="仿宋_GB2312"/>
          <w:sz w:val="32"/>
          <w:szCs w:val="32"/>
          <w:highlight w:val="none"/>
        </w:rPr>
        <w:t>投标人发生以下条款情况之一者，视为无效</w:t>
      </w:r>
      <w:r>
        <w:rPr>
          <w:rFonts w:hint="eastAsia" w:eastAsia="仿宋_GB2312"/>
          <w:sz w:val="32"/>
          <w:szCs w:val="32"/>
          <w:highlight w:val="none"/>
          <w:lang w:val="en-US" w:eastAsia="zh-CN"/>
        </w:rPr>
        <w:t>响应</w:t>
      </w:r>
      <w:r>
        <w:rPr>
          <w:rFonts w:hint="default" w:eastAsia="仿宋_GB2312"/>
          <w:sz w:val="32"/>
          <w:szCs w:val="32"/>
          <w:highlight w:val="none"/>
        </w:rPr>
        <w:t>，其响应文件将被拒绝: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1.</w:t>
      </w:r>
      <w:r>
        <w:rPr>
          <w:rFonts w:hint="default" w:eastAsia="仿宋_GB2312"/>
          <w:sz w:val="32"/>
          <w:szCs w:val="32"/>
        </w:rPr>
        <w:t>投标人不具备文件规定的资格要求的。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2.</w:t>
      </w:r>
      <w:r>
        <w:rPr>
          <w:rFonts w:hint="default" w:eastAsia="仿宋_GB2312"/>
          <w:sz w:val="32"/>
          <w:szCs w:val="32"/>
        </w:rPr>
        <w:t>投标文件未按照文件要求</w:t>
      </w:r>
      <w:r>
        <w:rPr>
          <w:rFonts w:hint="eastAsia" w:eastAsia="仿宋_GB2312"/>
          <w:sz w:val="32"/>
          <w:szCs w:val="32"/>
          <w:lang w:eastAsia="zh-CN"/>
        </w:rPr>
        <w:t>密封、</w:t>
      </w:r>
      <w:r>
        <w:rPr>
          <w:rFonts w:hint="default" w:eastAsia="仿宋_GB2312"/>
          <w:sz w:val="32"/>
          <w:szCs w:val="32"/>
        </w:rPr>
        <w:t>签署和盖章</w:t>
      </w:r>
      <w:r>
        <w:rPr>
          <w:rFonts w:hint="eastAsia" w:eastAsia="仿宋_GB2312"/>
          <w:sz w:val="32"/>
          <w:szCs w:val="32"/>
          <w:lang w:eastAsia="zh-CN"/>
        </w:rPr>
        <w:t>的</w:t>
      </w:r>
      <w:r>
        <w:rPr>
          <w:rFonts w:hint="default"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3.</w:t>
      </w:r>
      <w:r>
        <w:rPr>
          <w:rFonts w:hint="default" w:eastAsia="仿宋_GB2312"/>
          <w:sz w:val="32"/>
          <w:szCs w:val="32"/>
        </w:rPr>
        <w:t>投标文件出现多个投标方案或投标报价的。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4.</w:t>
      </w:r>
      <w:r>
        <w:rPr>
          <w:rFonts w:hint="default" w:eastAsia="仿宋_GB2312"/>
          <w:sz w:val="32"/>
          <w:szCs w:val="32"/>
        </w:rPr>
        <w:t>投标报价超过最高采购限价的。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5.</w:t>
      </w:r>
      <w:r>
        <w:rPr>
          <w:rFonts w:hint="default" w:eastAsia="仿宋_GB2312"/>
          <w:sz w:val="32"/>
          <w:szCs w:val="32"/>
        </w:rPr>
        <w:t>投标文件对采购人技术及</w:t>
      </w:r>
      <w:r>
        <w:rPr>
          <w:rFonts w:hint="eastAsia" w:eastAsia="仿宋_GB2312"/>
          <w:sz w:val="32"/>
          <w:szCs w:val="32"/>
          <w:lang w:val="en-US" w:eastAsia="zh-CN"/>
        </w:rPr>
        <w:t>服务</w:t>
      </w:r>
      <w:r>
        <w:rPr>
          <w:rFonts w:hint="default" w:eastAsia="仿宋_GB2312"/>
          <w:sz w:val="32"/>
          <w:szCs w:val="32"/>
        </w:rPr>
        <w:t>要求不能满足的。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eastAsia="仿宋_GB2312"/>
          <w:sz w:val="32"/>
          <w:szCs w:val="32"/>
        </w:rPr>
      </w:pPr>
      <w:r>
        <w:rPr>
          <w:rFonts w:hint="eastAsia" w:eastAsia="仿宋_GB2312"/>
          <w:sz w:val="32"/>
          <w:szCs w:val="32"/>
          <w:lang w:val="en-US" w:eastAsia="zh-CN"/>
        </w:rPr>
        <w:t>6.</w:t>
      </w:r>
      <w:r>
        <w:rPr>
          <w:rFonts w:hint="default" w:eastAsia="仿宋_GB2312"/>
          <w:sz w:val="32"/>
          <w:szCs w:val="32"/>
        </w:rPr>
        <w:t>投标文件内容有与国家现行法律法规相违背的内容，或附有采购人无法接受的条件。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eastAsia" w:eastAsia="黑体" w:cs="Times New Roman"/>
          <w:sz w:val="32"/>
          <w:szCs w:val="32"/>
          <w:lang w:val="en-US" w:eastAsia="zh-CN"/>
        </w:rPr>
        <w:t>三</w:t>
      </w:r>
      <w:r>
        <w:rPr>
          <w:rFonts w:hint="default" w:ascii="Times New Roman" w:hAnsi="Times New Roman" w:eastAsia="黑体" w:cs="Times New Roman"/>
          <w:sz w:val="32"/>
          <w:szCs w:val="32"/>
        </w:rPr>
        <w:t>、法律责任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政府采购法》第七十七条的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二）采取不正当手段诋毁、排挤其他供应商的；（三）与采购人、其他供应商或者采购代理机构恶意串通的；（四）向采购人、采购代理机构行贿或者提供其他不正当利益的；（五）在招标采购过程中与采购人进行协商谈判的；（六）拒绝有关部门监督检查或者提供虚假情况的。供应商有前款第（一）至（五）项情形之一的，中标、成交无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rPr>
      </w:pPr>
      <w:r>
        <w:rPr>
          <w:rFonts w:hint="eastAsia" w:eastAsia="黑体" w:cs="Times New Roman"/>
          <w:kern w:val="0"/>
          <w:sz w:val="32"/>
          <w:szCs w:val="32"/>
          <w:lang w:val="en-US" w:eastAsia="zh-CN"/>
        </w:rPr>
        <w:t>四</w:t>
      </w:r>
      <w:r>
        <w:rPr>
          <w:rFonts w:hint="default" w:ascii="Times New Roman" w:hAnsi="Times New Roman" w:eastAsia="黑体" w:cs="Times New Roman"/>
          <w:kern w:val="0"/>
          <w:sz w:val="32"/>
          <w:szCs w:val="32"/>
        </w:rPr>
        <w:t>、材料接收与截止时间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材料接收人：苏州市林业站</w:t>
      </w:r>
      <w:r>
        <w:rPr>
          <w:rFonts w:hint="eastAsia" w:eastAsia="仿宋_GB2312" w:cs="Times New Roman"/>
          <w:sz w:val="32"/>
          <w:szCs w:val="32"/>
          <w:lang w:eastAsia="zh-CN"/>
        </w:rPr>
        <w:t>办公室</w:t>
      </w:r>
      <w:r>
        <w:rPr>
          <w:rFonts w:hint="default" w:ascii="Times New Roman" w:hAnsi="Times New Roman" w:eastAsia="仿宋_GB2312" w:cs="Times New Roman"/>
          <w:sz w:val="32"/>
          <w:szCs w:val="32"/>
        </w:rPr>
        <w:t>，电话0512-65</w:t>
      </w:r>
      <w:r>
        <w:rPr>
          <w:rFonts w:hint="eastAsia" w:eastAsia="仿宋_GB2312" w:cs="Times New Roman"/>
          <w:sz w:val="32"/>
          <w:szCs w:val="32"/>
          <w:lang w:val="en-US" w:eastAsia="zh-CN"/>
        </w:rPr>
        <w:t>252373</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材料寄送地址：苏州市公园路255号。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提交响应文件</w:t>
      </w:r>
      <w:r>
        <w:rPr>
          <w:rFonts w:hint="default" w:ascii="Times New Roman" w:hAnsi="Times New Roman" w:eastAsia="仿宋_GB2312" w:cs="Times New Roman"/>
          <w:sz w:val="32"/>
          <w:szCs w:val="32"/>
        </w:rPr>
        <w:t>时间</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22</w:t>
      </w:r>
      <w:r>
        <w:rPr>
          <w:rFonts w:hint="default" w:ascii="Times New Roman" w:hAnsi="Times New Roman" w:eastAsia="仿宋_GB2312" w:cs="Times New Roman"/>
          <w:sz w:val="32"/>
          <w:szCs w:val="32"/>
          <w:highlight w:val="none"/>
        </w:rPr>
        <w:t>日-</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日。投标人应</w:t>
      </w:r>
      <w:r>
        <w:rPr>
          <w:rFonts w:hint="default" w:ascii="Times New Roman" w:hAnsi="Times New Roman" w:eastAsia="仿宋_GB2312" w:cs="Times New Roman"/>
          <w:sz w:val="32"/>
          <w:szCs w:val="32"/>
          <w:highlight w:val="none"/>
          <w:lang w:val="en-US" w:eastAsia="zh-CN"/>
        </w:rPr>
        <w:t>于</w:t>
      </w:r>
      <w:r>
        <w:rPr>
          <w:rFonts w:hint="default" w:ascii="Times New Roman" w:hAnsi="Times New Roman" w:eastAsia="仿宋_GB2312" w:cs="Times New Roman"/>
          <w:sz w:val="32"/>
          <w:szCs w:val="32"/>
          <w:highlight w:val="none"/>
          <w:lang w:eastAsia="zh-CN"/>
        </w:rPr>
        <w:t>202</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rPr>
        <w:t>17时</w:t>
      </w:r>
      <w:r>
        <w:rPr>
          <w:rFonts w:hint="default" w:ascii="Times New Roman" w:hAnsi="Times New Roman" w:eastAsia="仿宋_GB2312" w:cs="Times New Roman"/>
          <w:sz w:val="32"/>
          <w:szCs w:val="32"/>
          <w:highlight w:val="none"/>
        </w:rPr>
        <w:t>前将</w:t>
      </w:r>
      <w:r>
        <w:rPr>
          <w:rFonts w:hint="eastAsia" w:ascii="Times New Roman" w:hAnsi="Times New Roman" w:eastAsia="仿宋_GB2312" w:cs="Times New Roman"/>
          <w:sz w:val="32"/>
          <w:szCs w:val="32"/>
          <w:highlight w:val="none"/>
          <w:lang w:val="en-US" w:eastAsia="zh-CN"/>
        </w:rPr>
        <w:t>响应</w:t>
      </w:r>
      <w:r>
        <w:rPr>
          <w:rFonts w:hint="default" w:ascii="Times New Roman" w:hAnsi="Times New Roman" w:eastAsia="仿宋_GB2312" w:cs="Times New Roman"/>
          <w:sz w:val="32"/>
          <w:szCs w:val="32"/>
          <w:highlight w:val="none"/>
        </w:rPr>
        <w:t>文件密封送至苏州市林业站，逾期送达将予以拒收。</w:t>
      </w:r>
    </w:p>
    <w:p>
      <w:pPr>
        <w:pageBreakBefore w:val="0"/>
        <w:widowControl w:val="0"/>
        <w:kinsoku/>
        <w:wordWrap/>
        <w:overflowPunct/>
        <w:topLinePunct w:val="0"/>
        <w:bidi w:val="0"/>
        <w:snapToGrid/>
        <w:spacing w:line="56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苏州市林业站</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left"/>
        <w:textAlignment w:val="auto"/>
        <w:rPr>
          <w:rFonts w:hint="default" w:ascii="Times New Roman" w:hAnsi="Times New Roman" w:eastAsia="仿宋_GB2312" w:cs="Times New Roman"/>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仿宋_GB2312" w:cs="Times New Roman"/>
          <w:sz w:val="32"/>
          <w:szCs w:val="32"/>
          <w:lang w:eastAsia="zh-CN"/>
        </w:rPr>
        <w:t>202</w:t>
      </w:r>
      <w:r>
        <w:rPr>
          <w:rFonts w:hint="eastAsia"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eastAsia="仿宋_GB2312" w:cs="Times New Roman"/>
          <w:sz w:val="32"/>
          <w:szCs w:val="32"/>
          <w:lang w:val="en-US" w:eastAsia="zh-CN"/>
        </w:rPr>
        <w:t>22</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仿宋_GB2312" w:cs="Times New Roman"/>
          <w:b w:val="0"/>
          <w:bCs/>
          <w:color w:val="auto"/>
          <w:kern w:val="0"/>
          <w:sz w:val="32"/>
          <w:szCs w:val="32"/>
        </w:rPr>
      </w:pPr>
      <w:r>
        <w:rPr>
          <w:rFonts w:hint="eastAsia" w:ascii="黑体" w:hAnsi="黑体" w:eastAsia="黑体" w:cs="黑体"/>
          <w:b w:val="0"/>
          <w:bCs/>
          <w:color w:val="auto"/>
          <w:kern w:val="0"/>
          <w:sz w:val="32"/>
          <w:szCs w:val="32"/>
        </w:rPr>
        <w:t>附件</w:t>
      </w:r>
      <w:bookmarkStart w:id="1" w:name="_GoBack"/>
      <w:bookmarkEnd w:id="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Calibri" w:eastAsia="方正小标宋简体" w:cs="Times New Roman"/>
          <w:kern w:val="0"/>
          <w:sz w:val="44"/>
          <w:szCs w:val="44"/>
        </w:rPr>
      </w:pPr>
      <w:r>
        <w:rPr>
          <w:rFonts w:hint="default" w:ascii="Times New Roman" w:hAnsi="Times New Roman" w:eastAsia="方正小标宋简体" w:cs="Times New Roman"/>
          <w:kern w:val="0"/>
          <w:sz w:val="44"/>
          <w:szCs w:val="44"/>
        </w:rPr>
        <w:t>评分标</w:t>
      </w:r>
      <w:r>
        <w:rPr>
          <w:rFonts w:hint="eastAsia" w:ascii="方正小标宋简体" w:hAnsi="Calibri" w:eastAsia="方正小标宋简体" w:cs="Times New Roman"/>
          <w:kern w:val="0"/>
          <w:sz w:val="44"/>
          <w:szCs w:val="44"/>
        </w:rPr>
        <w:t>准</w:t>
      </w:r>
    </w:p>
    <w:p>
      <w:pPr>
        <w:keepNext w:val="0"/>
        <w:keepLines w:val="0"/>
        <w:pageBreakBefore w:val="0"/>
        <w:widowControl w:val="0"/>
        <w:kinsoku/>
        <w:wordWrap/>
        <w:overflowPunct/>
        <w:topLinePunct w:val="0"/>
        <w:autoSpaceDE/>
        <w:autoSpaceDN/>
        <w:bidi w:val="0"/>
        <w:adjustRightInd/>
        <w:snapToGrid/>
        <w:spacing w:line="560" w:lineRule="exact"/>
        <w:ind w:firstLine="120" w:firstLineChars="50"/>
        <w:textAlignment w:val="auto"/>
        <w:rPr>
          <w:rFonts w:ascii="宋体" w:hAnsi="宋体" w:eastAsia="宋体" w:cs="Times New Roman"/>
          <w:b/>
          <w:bCs/>
          <w:kern w:val="0"/>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Times New Roman"/>
          <w:kern w:val="0"/>
          <w:sz w:val="32"/>
          <w:szCs w:val="32"/>
        </w:rPr>
      </w:pPr>
      <w:r>
        <w:rPr>
          <w:rFonts w:ascii="黑体" w:hAnsi="黑体" w:eastAsia="黑体" w:cs="Times New Roman"/>
          <w:kern w:val="0"/>
          <w:sz w:val="32"/>
          <w:szCs w:val="32"/>
        </w:rPr>
        <w:t>一、评标办法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1.本次</w:t>
      </w:r>
      <w:r>
        <w:rPr>
          <w:rFonts w:hint="eastAsia" w:ascii="Times New Roman" w:hAnsi="Times New Roman" w:eastAsia="仿宋_GB2312" w:cs="Times New Roman"/>
          <w:kern w:val="0"/>
          <w:sz w:val="32"/>
          <w:szCs w:val="32"/>
          <w:lang w:val="en-US" w:eastAsia="zh-CN"/>
        </w:rPr>
        <w:t>竞争性磋商</w:t>
      </w:r>
      <w:r>
        <w:rPr>
          <w:rFonts w:ascii="Times New Roman" w:hAnsi="Times New Roman" w:eastAsia="仿宋_GB2312" w:cs="Times New Roman"/>
          <w:kern w:val="0"/>
          <w:sz w:val="32"/>
          <w:szCs w:val="32"/>
        </w:rPr>
        <w:t>采用综合评分法，即在响应文件满足询价文件全部实质性要求且按评审因素的量化指标评审得分最高的供应商为成交候选供应商。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2.评审小组各成员独立对每个进入打分程序的有效供应商的响应文件技术和资质部分以打分的形式进行评审和评价。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3.对评委的评分（除价格分外）进行统计汇总，直接算术平均计算得分，计算出每个供应商的得分，加上价格得分即为每个询价供应商的综合得分。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Calibri" w:hAnsi="Calibri" w:eastAsia="宋体" w:cs="Times New Roman"/>
          <w:kern w:val="0"/>
          <w:szCs w:val="22"/>
        </w:rPr>
      </w:pPr>
      <w:r>
        <w:rPr>
          <w:rFonts w:ascii="Times New Roman" w:hAnsi="Times New Roman" w:eastAsia="仿宋_GB2312" w:cs="Times New Roman"/>
          <w:kern w:val="0"/>
          <w:sz w:val="32"/>
          <w:szCs w:val="32"/>
        </w:rPr>
        <w:t>4.如出现评审总得分最高的供应商有两个或两个以上的，以报价较低者优先作为成交候选人，如果报价也相同的，则由采购人组织以抽签方式确定成交候选人。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Times New Roman"/>
          <w:color w:val="000000"/>
          <w:kern w:val="0"/>
          <w:sz w:val="32"/>
          <w:szCs w:val="32"/>
        </w:rPr>
      </w:pPr>
      <w:r>
        <w:rPr>
          <w:rFonts w:ascii="黑体" w:hAnsi="黑体" w:eastAsia="黑体" w:cs="Times New Roman"/>
          <w:color w:val="000000"/>
          <w:kern w:val="0"/>
          <w:sz w:val="32"/>
          <w:szCs w:val="32"/>
        </w:rPr>
        <w:t>二、评分标准：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Times New Roman" w:hAnsi="Times New Roman" w:eastAsia="楷体" w:cs="Times New Roman"/>
          <w:b w:val="0"/>
          <w:bCs w:val="0"/>
          <w:kern w:val="0"/>
          <w:sz w:val="32"/>
          <w:szCs w:val="32"/>
          <w:highlight w:val="none"/>
        </w:rPr>
      </w:pPr>
      <w:r>
        <w:rPr>
          <w:rFonts w:hint="default" w:ascii="Times New Roman" w:hAnsi="Times New Roman" w:eastAsia="楷体" w:cs="Times New Roman"/>
          <w:b w:val="0"/>
          <w:bCs w:val="0"/>
          <w:kern w:val="0"/>
          <w:sz w:val="32"/>
          <w:szCs w:val="32"/>
          <w:highlight w:val="none"/>
        </w:rPr>
        <w:t>（一）服务价格：（</w:t>
      </w:r>
      <w:r>
        <w:rPr>
          <w:rFonts w:hint="eastAsia" w:ascii="Times New Roman" w:hAnsi="Times New Roman" w:eastAsia="楷体" w:cs="Times New Roman"/>
          <w:b w:val="0"/>
          <w:bCs w:val="0"/>
          <w:kern w:val="0"/>
          <w:sz w:val="32"/>
          <w:szCs w:val="32"/>
          <w:highlight w:val="none"/>
          <w:lang w:val="en-US" w:eastAsia="zh-CN"/>
        </w:rPr>
        <w:t>30</w:t>
      </w:r>
      <w:r>
        <w:rPr>
          <w:rFonts w:hint="default" w:ascii="Times New Roman" w:hAnsi="Times New Roman" w:eastAsia="楷体" w:cs="Times New Roman"/>
          <w:b w:val="0"/>
          <w:bCs w:val="0"/>
          <w:kern w:val="0"/>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第一步：投标报价低于或等于</w:t>
      </w:r>
      <w:r>
        <w:rPr>
          <w:rFonts w:hint="eastAsia" w:ascii="Times New Roman" w:hAnsi="Times New Roman" w:eastAsia="仿宋_GB2312" w:cs="Times New Roman"/>
          <w:kern w:val="0"/>
          <w:sz w:val="32"/>
          <w:szCs w:val="32"/>
          <w:highlight w:val="none"/>
          <w:lang w:val="en-US" w:eastAsia="zh-CN"/>
        </w:rPr>
        <w:t>询价</w:t>
      </w:r>
      <w:r>
        <w:rPr>
          <w:rFonts w:hint="default" w:ascii="Times New Roman" w:hAnsi="Times New Roman" w:eastAsia="仿宋_GB2312" w:cs="Times New Roman"/>
          <w:kern w:val="0"/>
          <w:sz w:val="32"/>
          <w:szCs w:val="32"/>
          <w:highlight w:val="none"/>
        </w:rPr>
        <w:t>预算价格的，为有效投标报价。超预算的投标报价为无效投标报价。无效投标报价的投标文件不进行评审，也不得标。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第二步：在所有有效投标报价中满足</w:t>
      </w:r>
      <w:r>
        <w:rPr>
          <w:rFonts w:hint="eastAsia" w:ascii="Times New Roman" w:hAnsi="Times New Roman" w:eastAsia="仿宋_GB2312" w:cs="Times New Roman"/>
          <w:kern w:val="0"/>
          <w:sz w:val="32"/>
          <w:szCs w:val="32"/>
          <w:highlight w:val="none"/>
          <w:lang w:val="en-US" w:eastAsia="zh-CN"/>
        </w:rPr>
        <w:t>采购</w:t>
      </w:r>
      <w:r>
        <w:rPr>
          <w:rFonts w:hint="default" w:ascii="Times New Roman" w:hAnsi="Times New Roman" w:eastAsia="仿宋_GB2312" w:cs="Times New Roman"/>
          <w:kern w:val="0"/>
          <w:sz w:val="32"/>
          <w:szCs w:val="32"/>
          <w:highlight w:val="none"/>
        </w:rPr>
        <w:t>文件要求，且投标价格最低的投标报价为评标基准价，其他投标人的价格分按照下列公式计算（计算结果四舍五入保留一位小数）。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投标报价得分＝（评标基准价/投标报价）×</w:t>
      </w:r>
      <w:r>
        <w:rPr>
          <w:rFonts w:hint="eastAsia" w:ascii="Times New Roman" w:hAnsi="Times New Roman" w:eastAsia="仿宋_GB2312" w:cs="Times New Roman"/>
          <w:kern w:val="0"/>
          <w:sz w:val="32"/>
          <w:szCs w:val="32"/>
          <w:highlight w:val="none"/>
          <w:lang w:val="en-US" w:eastAsia="zh-CN"/>
        </w:rPr>
        <w:t>30%</w:t>
      </w:r>
      <w:r>
        <w:rPr>
          <w:rFonts w:hint="default" w:ascii="Times New Roman" w:hAnsi="Times New Roman" w:eastAsia="仿宋_GB2312" w:cs="Times New Roman"/>
          <w:kern w:val="0"/>
          <w:sz w:val="32"/>
          <w:szCs w:val="32"/>
          <w:highlight w:val="none"/>
        </w:rPr>
        <w:t>×100</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Times New Roman" w:hAnsi="Times New Roman" w:eastAsia="楷体" w:cs="Times New Roman"/>
          <w:b w:val="0"/>
          <w:bCs w:val="0"/>
          <w:kern w:val="0"/>
          <w:sz w:val="32"/>
          <w:szCs w:val="32"/>
          <w:highlight w:val="none"/>
        </w:rPr>
      </w:pPr>
      <w:r>
        <w:rPr>
          <w:rFonts w:hint="default" w:ascii="Times New Roman" w:hAnsi="Times New Roman" w:eastAsia="楷体" w:cs="Times New Roman"/>
          <w:b w:val="0"/>
          <w:bCs w:val="0"/>
          <w:kern w:val="0"/>
          <w:sz w:val="32"/>
          <w:szCs w:val="32"/>
          <w:highlight w:val="none"/>
        </w:rPr>
        <w:t>（二）</w:t>
      </w:r>
      <w:r>
        <w:rPr>
          <w:rFonts w:hint="eastAsia" w:ascii="Times New Roman" w:hAnsi="Times New Roman" w:eastAsia="楷体" w:cs="Times New Roman"/>
          <w:b w:val="0"/>
          <w:bCs w:val="0"/>
          <w:kern w:val="0"/>
          <w:sz w:val="32"/>
          <w:szCs w:val="32"/>
          <w:highlight w:val="none"/>
          <w:lang w:val="en-US" w:eastAsia="zh-CN"/>
        </w:rPr>
        <w:t>服务</w:t>
      </w:r>
      <w:r>
        <w:rPr>
          <w:rFonts w:hint="default" w:ascii="Times New Roman" w:hAnsi="Times New Roman" w:eastAsia="楷体" w:cs="Times New Roman"/>
          <w:b w:val="0"/>
          <w:bCs w:val="0"/>
          <w:kern w:val="0"/>
          <w:sz w:val="32"/>
          <w:szCs w:val="32"/>
          <w:highlight w:val="none"/>
        </w:rPr>
        <w:t>方案：（</w:t>
      </w:r>
      <w:r>
        <w:rPr>
          <w:rFonts w:hint="eastAsia" w:ascii="Times New Roman" w:hAnsi="Times New Roman" w:eastAsia="楷体" w:cs="Times New Roman"/>
          <w:b w:val="0"/>
          <w:bCs w:val="0"/>
          <w:kern w:val="0"/>
          <w:sz w:val="32"/>
          <w:szCs w:val="32"/>
          <w:highlight w:val="none"/>
          <w:lang w:val="en-US" w:eastAsia="zh-CN"/>
        </w:rPr>
        <w:t>3</w:t>
      </w:r>
      <w:r>
        <w:rPr>
          <w:rFonts w:hint="default" w:ascii="Times New Roman" w:hAnsi="Times New Roman" w:eastAsia="楷体" w:cs="Times New Roman"/>
          <w:b w:val="0"/>
          <w:bCs w:val="0"/>
          <w:kern w:val="0"/>
          <w:sz w:val="32"/>
          <w:szCs w:val="32"/>
          <w:highlight w:val="none"/>
          <w:lang w:val="en-US" w:eastAsia="zh-CN"/>
        </w:rPr>
        <w:t>0</w:t>
      </w:r>
      <w:r>
        <w:rPr>
          <w:rFonts w:hint="default" w:ascii="Times New Roman" w:hAnsi="Times New Roman" w:eastAsia="楷体" w:cs="Times New Roman"/>
          <w:b w:val="0"/>
          <w:bCs w:val="0"/>
          <w:kern w:val="0"/>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各响应单位须编制</w:t>
      </w:r>
      <w:r>
        <w:rPr>
          <w:rFonts w:hint="eastAsia" w:ascii="Times New Roman" w:hAnsi="Times New Roman" w:eastAsia="仿宋_GB2312" w:cs="Times New Roman"/>
          <w:kern w:val="0"/>
          <w:sz w:val="32"/>
          <w:szCs w:val="32"/>
          <w:highlight w:val="none"/>
          <w:lang w:val="en-US" w:eastAsia="zh-CN"/>
        </w:rPr>
        <w:t>完整可行的项目实施方案</w:t>
      </w:r>
      <w:r>
        <w:rPr>
          <w:rFonts w:hint="default" w:ascii="Times New Roman" w:hAnsi="Times New Roman" w:eastAsia="仿宋_GB2312" w:cs="Times New Roman"/>
          <w:kern w:val="0"/>
          <w:sz w:val="32"/>
          <w:szCs w:val="32"/>
          <w:highlight w:val="none"/>
        </w:rPr>
        <w:t>，根据</w:t>
      </w:r>
      <w:r>
        <w:rPr>
          <w:rFonts w:hint="eastAsia" w:ascii="Times New Roman" w:hAnsi="Times New Roman" w:eastAsia="仿宋_GB2312" w:cs="Times New Roman"/>
          <w:kern w:val="0"/>
          <w:sz w:val="32"/>
          <w:szCs w:val="32"/>
          <w:highlight w:val="none"/>
          <w:lang w:val="en-US" w:eastAsia="zh-CN"/>
        </w:rPr>
        <w:t>实施</w:t>
      </w:r>
      <w:r>
        <w:rPr>
          <w:rFonts w:hint="default" w:ascii="Times New Roman" w:hAnsi="Times New Roman" w:eastAsia="仿宋_GB2312" w:cs="Times New Roman"/>
          <w:kern w:val="0"/>
          <w:sz w:val="32"/>
          <w:szCs w:val="32"/>
          <w:highlight w:val="none"/>
        </w:rPr>
        <w:t>方案满足本项目采购需求</w:t>
      </w:r>
      <w:r>
        <w:rPr>
          <w:rFonts w:hint="eastAsia" w:ascii="Calibri" w:hAnsi="Calibri" w:eastAsia="仿宋_GB2312" w:cs="Times New Roman"/>
          <w:kern w:val="0"/>
          <w:sz w:val="32"/>
          <w:szCs w:val="32"/>
          <w:highlight w:val="none"/>
          <w:lang w:eastAsia="zh-CN"/>
        </w:rPr>
        <w:t>，</w:t>
      </w:r>
      <w:r>
        <w:rPr>
          <w:rFonts w:hint="eastAsia" w:ascii="Calibri" w:hAnsi="Calibri" w:eastAsia="仿宋_GB2312" w:cs="Times New Roman"/>
          <w:kern w:val="0"/>
          <w:sz w:val="32"/>
          <w:szCs w:val="32"/>
          <w:highlight w:val="none"/>
          <w:lang w:val="en-US" w:eastAsia="zh-CN"/>
        </w:rPr>
        <w:t>能提出细化、可行的实施方案。</w:t>
      </w:r>
      <w:r>
        <w:rPr>
          <w:rFonts w:hint="default" w:ascii="Times New Roman" w:hAnsi="Times New Roman" w:eastAsia="仿宋_GB2312" w:cs="Times New Roman"/>
          <w:kern w:val="0"/>
          <w:sz w:val="32"/>
          <w:szCs w:val="32"/>
          <w:highlight w:val="none"/>
        </w:rPr>
        <w:t>根据各响应单位为本项目提供</w:t>
      </w:r>
      <w:r>
        <w:rPr>
          <w:rFonts w:hint="eastAsia" w:ascii="Times New Roman" w:hAnsi="Times New Roman" w:eastAsia="仿宋_GB2312" w:cs="Times New Roman"/>
          <w:kern w:val="0"/>
          <w:sz w:val="32"/>
          <w:szCs w:val="32"/>
          <w:highlight w:val="none"/>
          <w:lang w:val="en-US" w:eastAsia="zh-CN"/>
        </w:rPr>
        <w:t>服务的实施方案、技术</w:t>
      </w:r>
      <w:r>
        <w:rPr>
          <w:rFonts w:hint="default" w:ascii="Times New Roman" w:hAnsi="Times New Roman" w:eastAsia="仿宋_GB2312" w:cs="Times New Roman"/>
          <w:kern w:val="0"/>
          <w:sz w:val="32"/>
          <w:szCs w:val="32"/>
          <w:highlight w:val="none"/>
        </w:rPr>
        <w:t>措施等情况进行比较</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优得</w:t>
      </w:r>
      <w:r>
        <w:rPr>
          <w:rFonts w:hint="eastAsia" w:ascii="Times New Roman" w:hAnsi="Times New Roman" w:eastAsia="仿宋_GB2312" w:cs="Times New Roman"/>
          <w:kern w:val="0"/>
          <w:sz w:val="32"/>
          <w:szCs w:val="32"/>
          <w:highlight w:val="none"/>
          <w:lang w:val="en-US" w:eastAsia="zh-CN"/>
        </w:rPr>
        <w:t>21</w:t>
      </w:r>
      <w:r>
        <w:rPr>
          <w:rFonts w:hint="default"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3</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分，良得</w:t>
      </w:r>
      <w:r>
        <w:rPr>
          <w:rFonts w:hint="eastAsia" w:ascii="Times New Roman" w:hAnsi="Times New Roman" w:eastAsia="仿宋_GB2312" w:cs="Times New Roman"/>
          <w:kern w:val="0"/>
          <w:sz w:val="32"/>
          <w:szCs w:val="32"/>
          <w:highlight w:val="none"/>
          <w:lang w:val="en-US" w:eastAsia="zh-CN"/>
        </w:rPr>
        <w:t>11</w:t>
      </w:r>
      <w:r>
        <w:rPr>
          <w:rFonts w:hint="default"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2</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分，一般得</w:t>
      </w:r>
      <w:r>
        <w:rPr>
          <w:rFonts w:hint="eastAsia"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lang w:val="en-US" w:eastAsia="zh-CN"/>
        </w:rPr>
        <w:t>0</w:t>
      </w:r>
      <w:r>
        <w:rPr>
          <w:rFonts w:hint="default" w:ascii="Times New Roman" w:hAnsi="Times New Roman" w:eastAsia="仿宋_GB2312" w:cs="Times New Roman"/>
          <w:kern w:val="0"/>
          <w:sz w:val="32"/>
          <w:szCs w:val="32"/>
          <w:highlight w:val="none"/>
        </w:rPr>
        <w:t>分</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Times New Roman" w:hAnsi="Times New Roman" w:eastAsia="楷体" w:cs="Times New Roman"/>
          <w:b w:val="0"/>
          <w:bCs w:val="0"/>
          <w:kern w:val="0"/>
          <w:sz w:val="32"/>
          <w:szCs w:val="32"/>
          <w:highlight w:val="none"/>
        </w:rPr>
      </w:pPr>
      <w:r>
        <w:rPr>
          <w:rFonts w:hint="default" w:ascii="Times New Roman" w:hAnsi="Times New Roman" w:eastAsia="楷体" w:cs="Times New Roman"/>
          <w:b w:val="0"/>
          <w:bCs w:val="0"/>
          <w:kern w:val="0"/>
          <w:sz w:val="32"/>
          <w:szCs w:val="32"/>
          <w:highlight w:val="none"/>
        </w:rPr>
        <w:t>（</w:t>
      </w:r>
      <w:r>
        <w:rPr>
          <w:rFonts w:hint="eastAsia" w:ascii="Times New Roman" w:hAnsi="Times New Roman" w:eastAsia="楷体" w:cs="Times New Roman"/>
          <w:b w:val="0"/>
          <w:bCs w:val="0"/>
          <w:kern w:val="0"/>
          <w:sz w:val="32"/>
          <w:szCs w:val="32"/>
          <w:highlight w:val="none"/>
          <w:lang w:val="en-US" w:eastAsia="zh-CN"/>
        </w:rPr>
        <w:t>三</w:t>
      </w:r>
      <w:r>
        <w:rPr>
          <w:rFonts w:hint="default" w:ascii="Times New Roman" w:hAnsi="Times New Roman" w:eastAsia="楷体" w:cs="Times New Roman"/>
          <w:b w:val="0"/>
          <w:bCs w:val="0"/>
          <w:kern w:val="0"/>
          <w:sz w:val="32"/>
          <w:szCs w:val="32"/>
          <w:highlight w:val="none"/>
        </w:rPr>
        <w:t>）</w:t>
      </w:r>
      <w:r>
        <w:rPr>
          <w:rFonts w:hint="eastAsia" w:ascii="Times New Roman" w:hAnsi="Times New Roman" w:eastAsia="楷体" w:cs="Times New Roman"/>
          <w:b w:val="0"/>
          <w:bCs w:val="0"/>
          <w:kern w:val="0"/>
          <w:sz w:val="32"/>
          <w:szCs w:val="32"/>
          <w:highlight w:val="none"/>
          <w:lang w:val="en-US" w:eastAsia="zh-CN"/>
        </w:rPr>
        <w:t>履约能力</w:t>
      </w:r>
      <w:r>
        <w:rPr>
          <w:rFonts w:hint="default" w:ascii="Times New Roman" w:hAnsi="Times New Roman" w:eastAsia="楷体" w:cs="Times New Roman"/>
          <w:b w:val="0"/>
          <w:bCs w:val="0"/>
          <w:kern w:val="0"/>
          <w:sz w:val="32"/>
          <w:szCs w:val="32"/>
          <w:highlight w:val="none"/>
        </w:rPr>
        <w:t>：（</w:t>
      </w:r>
      <w:r>
        <w:rPr>
          <w:rFonts w:hint="eastAsia" w:ascii="Times New Roman" w:hAnsi="Times New Roman" w:eastAsia="楷体" w:cs="Times New Roman"/>
          <w:b w:val="0"/>
          <w:bCs w:val="0"/>
          <w:kern w:val="0"/>
          <w:sz w:val="32"/>
          <w:szCs w:val="32"/>
          <w:highlight w:val="none"/>
          <w:lang w:val="en-US" w:eastAsia="zh-CN"/>
        </w:rPr>
        <w:t>25</w:t>
      </w:r>
      <w:r>
        <w:rPr>
          <w:rFonts w:hint="default" w:ascii="Times New Roman" w:hAnsi="Times New Roman" w:eastAsia="楷体" w:cs="Times New Roman"/>
          <w:b w:val="0"/>
          <w:bCs w:val="0"/>
          <w:kern w:val="0"/>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根据各响应单位</w:t>
      </w:r>
      <w:r>
        <w:rPr>
          <w:rFonts w:hint="eastAsia" w:ascii="Times New Roman" w:hAnsi="Times New Roman" w:eastAsia="仿宋_GB2312" w:cs="Times New Roman"/>
          <w:kern w:val="0"/>
          <w:sz w:val="32"/>
          <w:szCs w:val="32"/>
          <w:highlight w:val="none"/>
          <w:lang w:val="en-US" w:eastAsia="zh-CN"/>
        </w:rPr>
        <w:t>为完成</w:t>
      </w:r>
      <w:r>
        <w:rPr>
          <w:rFonts w:hint="default" w:ascii="Times New Roman" w:hAnsi="Times New Roman" w:eastAsia="仿宋_GB2312" w:cs="Times New Roman"/>
          <w:kern w:val="0"/>
          <w:sz w:val="32"/>
          <w:szCs w:val="32"/>
          <w:highlight w:val="none"/>
        </w:rPr>
        <w:t>本项目</w:t>
      </w:r>
      <w:r>
        <w:rPr>
          <w:rFonts w:hint="eastAsia" w:ascii="Times New Roman" w:hAnsi="Times New Roman" w:eastAsia="仿宋_GB2312" w:cs="Times New Roman"/>
          <w:kern w:val="0"/>
          <w:sz w:val="32"/>
          <w:szCs w:val="32"/>
          <w:highlight w:val="none"/>
          <w:lang w:val="en-US" w:eastAsia="zh-CN"/>
        </w:rPr>
        <w:t>所</w:t>
      </w:r>
      <w:r>
        <w:rPr>
          <w:rFonts w:hint="default" w:ascii="Times New Roman" w:hAnsi="Times New Roman" w:eastAsia="仿宋_GB2312" w:cs="Times New Roman"/>
          <w:kern w:val="0"/>
          <w:sz w:val="32"/>
          <w:szCs w:val="32"/>
          <w:highlight w:val="none"/>
        </w:rPr>
        <w:t>提供的团队资源情况</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lang w:val="en-US" w:eastAsia="zh-CN"/>
        </w:rPr>
        <w:t>最高10分</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highlight w:val="none"/>
          <w:lang w:val="en-US" w:eastAsia="zh-CN"/>
        </w:rPr>
        <w:t>为林业领域类似项目提供服务的业绩（一个业绩得2分，最高10分）、技术能力（最高5分）</w:t>
      </w:r>
      <w:r>
        <w:rPr>
          <w:rFonts w:hint="default" w:ascii="Times New Roman" w:hAnsi="Times New Roman" w:eastAsia="仿宋_GB2312" w:cs="Times New Roman"/>
          <w:kern w:val="0"/>
          <w:sz w:val="32"/>
          <w:szCs w:val="32"/>
          <w:highlight w:val="none"/>
        </w:rPr>
        <w:t>进行比较</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优得</w:t>
      </w:r>
      <w:r>
        <w:rPr>
          <w:rFonts w:hint="eastAsia" w:ascii="Times New Roman" w:hAnsi="Times New Roman" w:eastAsia="仿宋_GB2312" w:cs="Times New Roman"/>
          <w:kern w:val="0"/>
          <w:sz w:val="32"/>
          <w:szCs w:val="32"/>
          <w:highlight w:val="none"/>
          <w:lang w:val="en-US" w:eastAsia="zh-CN"/>
        </w:rPr>
        <w:t>21-25分</w:t>
      </w:r>
      <w:r>
        <w:rPr>
          <w:rFonts w:hint="default" w:ascii="Times New Roman" w:hAnsi="Times New Roman" w:eastAsia="仿宋_GB2312" w:cs="Times New Roman"/>
          <w:kern w:val="0"/>
          <w:sz w:val="32"/>
          <w:szCs w:val="32"/>
          <w:highlight w:val="none"/>
        </w:rPr>
        <w:t>，良得</w:t>
      </w:r>
      <w:r>
        <w:rPr>
          <w:rFonts w:hint="eastAsia" w:ascii="Times New Roman" w:hAnsi="Times New Roman" w:eastAsia="仿宋_GB2312" w:cs="Times New Roman"/>
          <w:kern w:val="0"/>
          <w:sz w:val="32"/>
          <w:szCs w:val="32"/>
          <w:highlight w:val="none"/>
          <w:lang w:val="en-US" w:eastAsia="zh-CN"/>
        </w:rPr>
        <w:t>11-20</w:t>
      </w:r>
      <w:r>
        <w:rPr>
          <w:rFonts w:hint="default" w:ascii="Times New Roman" w:hAnsi="Times New Roman" w:eastAsia="仿宋_GB2312" w:cs="Times New Roman"/>
          <w:kern w:val="0"/>
          <w:sz w:val="32"/>
          <w:szCs w:val="32"/>
          <w:highlight w:val="none"/>
        </w:rPr>
        <w:t>分，一般得</w:t>
      </w:r>
      <w:r>
        <w:rPr>
          <w:rFonts w:hint="eastAsia" w:ascii="Times New Roman" w:hAnsi="Times New Roman" w:eastAsia="仿宋_GB2312" w:cs="Times New Roman"/>
          <w:kern w:val="0"/>
          <w:sz w:val="32"/>
          <w:szCs w:val="32"/>
          <w:highlight w:val="none"/>
          <w:lang w:val="en-US" w:eastAsia="zh-CN"/>
        </w:rPr>
        <w:t>1-10</w:t>
      </w:r>
      <w:r>
        <w:rPr>
          <w:rFonts w:hint="default" w:ascii="Times New Roman" w:hAnsi="Times New Roman" w:eastAsia="仿宋_GB2312" w:cs="Times New Roman"/>
          <w:kern w:val="0"/>
          <w:sz w:val="32"/>
          <w:szCs w:val="32"/>
          <w:highlight w:val="none"/>
        </w:rPr>
        <w:t>分</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 w:cs="Times New Roman"/>
          <w:b w:val="0"/>
          <w:bCs w:val="0"/>
          <w:kern w:val="0"/>
          <w:sz w:val="32"/>
          <w:szCs w:val="32"/>
          <w:highlight w:val="none"/>
        </w:rPr>
      </w:pPr>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四</w:t>
      </w:r>
      <w:r>
        <w:rPr>
          <w:rFonts w:hint="default" w:ascii="Times New Roman" w:hAnsi="Times New Roman" w:eastAsia="楷体" w:cs="Times New Roman"/>
          <w:b w:val="0"/>
          <w:bCs w:val="0"/>
          <w:kern w:val="0"/>
          <w:sz w:val="32"/>
          <w:szCs w:val="32"/>
          <w:highlight w:val="none"/>
        </w:rPr>
        <w:t>）服务承诺：（</w:t>
      </w:r>
      <w:r>
        <w:rPr>
          <w:rFonts w:hint="eastAsia" w:ascii="Times New Roman" w:hAnsi="Times New Roman" w:eastAsia="楷体" w:cs="Times New Roman"/>
          <w:b w:val="0"/>
          <w:bCs w:val="0"/>
          <w:kern w:val="0"/>
          <w:sz w:val="32"/>
          <w:szCs w:val="32"/>
          <w:highlight w:val="none"/>
          <w:lang w:val="en-US" w:eastAsia="zh-CN"/>
        </w:rPr>
        <w:t>15</w:t>
      </w:r>
      <w:r>
        <w:rPr>
          <w:rFonts w:hint="default" w:ascii="Times New Roman" w:hAnsi="Times New Roman" w:eastAsia="楷体" w:cs="Times New Roman"/>
          <w:b w:val="0"/>
          <w:bCs w:val="0"/>
          <w:kern w:val="0"/>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根据各响应单位对本项目</w:t>
      </w:r>
      <w:r>
        <w:rPr>
          <w:rFonts w:hint="eastAsia" w:ascii="Times New Roman" w:hAnsi="Times New Roman" w:eastAsia="仿宋_GB2312" w:cs="Times New Roman"/>
          <w:kern w:val="0"/>
          <w:sz w:val="32"/>
          <w:szCs w:val="32"/>
          <w:highlight w:val="none"/>
          <w:lang w:val="en-US" w:eastAsia="zh-CN"/>
        </w:rPr>
        <w:t>完成保质、保量</w:t>
      </w:r>
      <w:r>
        <w:rPr>
          <w:rFonts w:hint="default" w:ascii="Times New Roman" w:hAnsi="Times New Roman" w:eastAsia="仿宋_GB2312" w:cs="Times New Roman"/>
          <w:kern w:val="0"/>
          <w:sz w:val="32"/>
          <w:szCs w:val="32"/>
          <w:highlight w:val="none"/>
        </w:rPr>
        <w:t>等服务承诺</w:t>
      </w:r>
      <w:r>
        <w:rPr>
          <w:rFonts w:hint="eastAsia" w:ascii="Times New Roman" w:hAnsi="Times New Roman" w:eastAsia="仿宋_GB2312" w:cs="Times New Roman"/>
          <w:kern w:val="0"/>
          <w:sz w:val="32"/>
          <w:szCs w:val="32"/>
          <w:highlight w:val="none"/>
          <w:lang w:eastAsia="zh-CN"/>
        </w:rPr>
        <w:t>、</w:t>
      </w:r>
      <w:r>
        <w:rPr>
          <w:rFonts w:hint="eastAsia" w:ascii="Calibri" w:hAnsi="Calibri" w:eastAsia="仿宋_GB2312" w:cs="Times New Roman"/>
          <w:kern w:val="0"/>
          <w:sz w:val="32"/>
          <w:szCs w:val="32"/>
          <w:highlight w:val="none"/>
          <w:lang w:val="en-US" w:eastAsia="zh-CN"/>
        </w:rPr>
        <w:t>延伸服务等</w:t>
      </w:r>
      <w:r>
        <w:rPr>
          <w:rFonts w:hint="default" w:ascii="Times New Roman" w:hAnsi="Times New Roman" w:eastAsia="仿宋_GB2312" w:cs="Times New Roman"/>
          <w:kern w:val="0"/>
          <w:sz w:val="32"/>
          <w:szCs w:val="32"/>
          <w:highlight w:val="none"/>
        </w:rPr>
        <w:t>进行比较</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优得</w:t>
      </w:r>
      <w:r>
        <w:rPr>
          <w:rFonts w:hint="eastAsia" w:ascii="Times New Roman" w:hAnsi="Times New Roman" w:eastAsia="仿宋_GB2312" w:cs="Times New Roman"/>
          <w:kern w:val="0"/>
          <w:sz w:val="32"/>
          <w:szCs w:val="32"/>
          <w:highlight w:val="none"/>
          <w:lang w:val="en-US" w:eastAsia="zh-CN"/>
        </w:rPr>
        <w:t>11</w:t>
      </w:r>
      <w:r>
        <w:rPr>
          <w:rFonts w:hint="default" w:ascii="Times New Roman" w:hAnsi="Times New Roman" w:eastAsia="仿宋_GB2312" w:cs="Times New Roman"/>
          <w:kern w:val="0"/>
          <w:sz w:val="32"/>
          <w:szCs w:val="32"/>
          <w:highlight w:val="none"/>
        </w:rPr>
        <w:t>-1</w:t>
      </w:r>
      <w:r>
        <w:rPr>
          <w:rFonts w:hint="eastAsia" w:ascii="Times New Roman" w:hAnsi="Times New Roman"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rPr>
        <w:t>分，良得</w:t>
      </w:r>
      <w:r>
        <w:rPr>
          <w:rFonts w:hint="eastAsia" w:ascii="Times New Roman" w:hAnsi="Times New Roman" w:eastAsia="仿宋_GB2312" w:cs="Times New Roman"/>
          <w:kern w:val="0"/>
          <w:sz w:val="32"/>
          <w:szCs w:val="32"/>
          <w:highlight w:val="none"/>
          <w:lang w:val="en-US" w:eastAsia="zh-CN"/>
        </w:rPr>
        <w:t>6</w:t>
      </w:r>
      <w:r>
        <w:rPr>
          <w:rFonts w:hint="default"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10</w:t>
      </w:r>
      <w:r>
        <w:rPr>
          <w:rFonts w:hint="default" w:ascii="Times New Roman" w:hAnsi="Times New Roman" w:eastAsia="仿宋_GB2312" w:cs="Times New Roman"/>
          <w:kern w:val="0"/>
          <w:sz w:val="32"/>
          <w:szCs w:val="32"/>
          <w:highlight w:val="none"/>
        </w:rPr>
        <w:t>分，一般得</w:t>
      </w:r>
      <w:r>
        <w:rPr>
          <w:rFonts w:hint="eastAsia"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val="en-US" w:eastAsia="zh-CN"/>
        </w:rPr>
        <w:t>5</w:t>
      </w:r>
      <w:r>
        <w:rPr>
          <w:rFonts w:hint="default" w:ascii="Times New Roman" w:hAnsi="Times New Roman" w:eastAsia="仿宋_GB2312" w:cs="Times New Roman"/>
          <w:kern w:val="0"/>
          <w:sz w:val="32"/>
          <w:szCs w:val="32"/>
          <w:highlight w:val="none"/>
        </w:rPr>
        <w:t>分</w:t>
      </w:r>
      <w:r>
        <w:rPr>
          <w:rFonts w:hint="eastAsia" w:ascii="Calibri" w:hAnsi="Calibri" w:eastAsia="仿宋_GB2312"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auto"/>
        <w:outlineLvl w:val="0"/>
        <w:rPr>
          <w:rFonts w:hint="default" w:ascii="Times New Roman" w:hAnsi="Times New Roman" w:eastAsia="仿宋_GB2312" w:cs="Times New Roman"/>
          <w:b w:val="0"/>
          <w:bCs/>
          <w:color w:val="auto"/>
          <w:kern w:val="0"/>
          <w:sz w:val="32"/>
          <w:szCs w:val="32"/>
        </w:rPr>
      </w:pPr>
    </w:p>
    <w:p>
      <w:pPr>
        <w:rPr>
          <w:rFonts w:ascii="Calibri" w:hAnsi="Calibri" w:eastAsia="宋体" w:cs="Times New Roman"/>
          <w:kern w:val="0"/>
          <w:szCs w:val="22"/>
        </w:rPr>
      </w:pPr>
    </w:p>
    <w:p>
      <w:pPr>
        <w:spacing w:line="480" w:lineRule="exact"/>
        <w:ind w:firstLine="640" w:firstLineChars="200"/>
        <w:jc w:val="right"/>
        <w:rPr>
          <w:rFonts w:hint="eastAsia" w:ascii="仿宋" w:hAnsi="仿宋" w:eastAsia="仿宋" w:cs="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创艺简仿宋">
    <w:altName w:val="方正小标宋简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iZTM2ZDMwNDBhOGJjMjcwYTdjOWFjZWI0ODNlNTcifQ=="/>
  </w:docVars>
  <w:rsids>
    <w:rsidRoot w:val="00172A27"/>
    <w:rsid w:val="001C7F02"/>
    <w:rsid w:val="002158E5"/>
    <w:rsid w:val="00317DFE"/>
    <w:rsid w:val="004825D5"/>
    <w:rsid w:val="004D1A55"/>
    <w:rsid w:val="004E071B"/>
    <w:rsid w:val="00537EB1"/>
    <w:rsid w:val="006157A2"/>
    <w:rsid w:val="00704606"/>
    <w:rsid w:val="00765438"/>
    <w:rsid w:val="00767503"/>
    <w:rsid w:val="007A43D8"/>
    <w:rsid w:val="00857201"/>
    <w:rsid w:val="0094578A"/>
    <w:rsid w:val="0097324B"/>
    <w:rsid w:val="00A01F14"/>
    <w:rsid w:val="00A64155"/>
    <w:rsid w:val="00AB06BD"/>
    <w:rsid w:val="00B257D3"/>
    <w:rsid w:val="00C34D2C"/>
    <w:rsid w:val="00CB5A0E"/>
    <w:rsid w:val="00CB5CD2"/>
    <w:rsid w:val="00DE46ED"/>
    <w:rsid w:val="00E079F9"/>
    <w:rsid w:val="00E4510B"/>
    <w:rsid w:val="00FD0CA0"/>
    <w:rsid w:val="02C00A3B"/>
    <w:rsid w:val="039F0BD2"/>
    <w:rsid w:val="03AE2765"/>
    <w:rsid w:val="045A0F20"/>
    <w:rsid w:val="045D404D"/>
    <w:rsid w:val="076156AF"/>
    <w:rsid w:val="0987119C"/>
    <w:rsid w:val="0C37175E"/>
    <w:rsid w:val="0CA96AF1"/>
    <w:rsid w:val="0D7A7223"/>
    <w:rsid w:val="0FAA78FA"/>
    <w:rsid w:val="15ED0D63"/>
    <w:rsid w:val="15EF3C21"/>
    <w:rsid w:val="16C81F40"/>
    <w:rsid w:val="19553227"/>
    <w:rsid w:val="1E0945D4"/>
    <w:rsid w:val="2185733E"/>
    <w:rsid w:val="22121F89"/>
    <w:rsid w:val="24565E64"/>
    <w:rsid w:val="25571598"/>
    <w:rsid w:val="258A1538"/>
    <w:rsid w:val="2A3F70FD"/>
    <w:rsid w:val="2CE3622E"/>
    <w:rsid w:val="2F564170"/>
    <w:rsid w:val="2FF13927"/>
    <w:rsid w:val="312D3EE3"/>
    <w:rsid w:val="312D6024"/>
    <w:rsid w:val="33E365F1"/>
    <w:rsid w:val="36EF7B94"/>
    <w:rsid w:val="37A72418"/>
    <w:rsid w:val="37BD604C"/>
    <w:rsid w:val="3AEF50CA"/>
    <w:rsid w:val="3B1F0482"/>
    <w:rsid w:val="3B1F4274"/>
    <w:rsid w:val="3CE96F52"/>
    <w:rsid w:val="3CF87326"/>
    <w:rsid w:val="3ED63290"/>
    <w:rsid w:val="3EEBCB87"/>
    <w:rsid w:val="3F3518F6"/>
    <w:rsid w:val="3FFF9E23"/>
    <w:rsid w:val="46FF3B9F"/>
    <w:rsid w:val="483E10CE"/>
    <w:rsid w:val="486401D4"/>
    <w:rsid w:val="4C7F51E0"/>
    <w:rsid w:val="4EE07773"/>
    <w:rsid w:val="50E947A1"/>
    <w:rsid w:val="51316796"/>
    <w:rsid w:val="51B05909"/>
    <w:rsid w:val="57F3AB39"/>
    <w:rsid w:val="5BEE4761"/>
    <w:rsid w:val="5CAB4FE8"/>
    <w:rsid w:val="5DDE7679"/>
    <w:rsid w:val="5E7D4EB7"/>
    <w:rsid w:val="5FFF0B33"/>
    <w:rsid w:val="60BA79D7"/>
    <w:rsid w:val="67EE5C27"/>
    <w:rsid w:val="6ED15F31"/>
    <w:rsid w:val="6FD94683"/>
    <w:rsid w:val="71F702EF"/>
    <w:rsid w:val="71FFA8D9"/>
    <w:rsid w:val="720B6F34"/>
    <w:rsid w:val="72306B38"/>
    <w:rsid w:val="73E17529"/>
    <w:rsid w:val="76EFC0C8"/>
    <w:rsid w:val="7796B0AC"/>
    <w:rsid w:val="799F9ED9"/>
    <w:rsid w:val="79DBDB42"/>
    <w:rsid w:val="7A6D6467"/>
    <w:rsid w:val="7B5941F0"/>
    <w:rsid w:val="7D73725D"/>
    <w:rsid w:val="7ED71269"/>
    <w:rsid w:val="7FFABC97"/>
    <w:rsid w:val="97CF401C"/>
    <w:rsid w:val="9B7FF77A"/>
    <w:rsid w:val="BFDF53BE"/>
    <w:rsid w:val="DCA5AFCD"/>
    <w:rsid w:val="DDFF1B10"/>
    <w:rsid w:val="E9F69562"/>
    <w:rsid w:val="EB5F5F90"/>
    <w:rsid w:val="EB760D95"/>
    <w:rsid w:val="EB8F2994"/>
    <w:rsid w:val="ED7DD61D"/>
    <w:rsid w:val="EFAFC010"/>
    <w:rsid w:val="F3F6228F"/>
    <w:rsid w:val="F76B992F"/>
    <w:rsid w:val="FF77F62D"/>
    <w:rsid w:val="FFFD8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widowControl w:val="0"/>
      <w:autoSpaceDE w:val="0"/>
      <w:autoSpaceDN w:val="0"/>
      <w:adjustRightInd w:val="0"/>
      <w:spacing w:line="312" w:lineRule="atLeast"/>
      <w:ind w:left="360" w:right="-28"/>
      <w:jc w:val="both"/>
      <w:textAlignment w:val="baseline"/>
    </w:pPr>
    <w:rPr>
      <w:rFonts w:ascii="Calibri" w:hAnsi="Calibri" w:eastAsia="楷体" w:cs="Times New Roman"/>
      <w:color w:val="FF0000"/>
      <w:kern w:val="0"/>
      <w:sz w:val="24"/>
      <w:szCs w:val="22"/>
    </w:r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400" w:lineRule="exact"/>
    </w:pPr>
    <w:rPr>
      <w:rFonts w:ascii="楷体_GB2312"/>
      <w:kern w:val="0"/>
      <w:sz w:val="28"/>
    </w:rPr>
  </w:style>
  <w:style w:type="paragraph" w:styleId="6">
    <w:name w:val="Body Text Indent"/>
    <w:basedOn w:val="1"/>
    <w:unhideWhenUsed/>
    <w:qFormat/>
    <w:uiPriority w:val="99"/>
    <w:pPr>
      <w:spacing w:line="520" w:lineRule="exact"/>
      <w:ind w:left="570"/>
    </w:pPr>
    <w:rPr>
      <w:rFonts w:ascii="Arial Unicode MS" w:hAnsi="创艺简仿宋" w:eastAsia="Arial Unicode MS"/>
      <w:sz w:val="24"/>
      <w:szCs w:val="20"/>
    </w:rPr>
  </w:style>
  <w:style w:type="paragraph" w:styleId="7">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2577</Words>
  <Characters>2956</Characters>
  <Lines>9</Lines>
  <Paragraphs>2</Paragraphs>
  <TotalTime>8</TotalTime>
  <ScaleCrop>false</ScaleCrop>
  <LinksUpToDate>false</LinksUpToDate>
  <CharactersWithSpaces>2994</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2021-03-14T00:28:00Z</dcterms:created>
  <dc:creator>qiaoyu li</dc:creator>
  <cp:lastModifiedBy>芊芊</cp:lastModifiedBy>
  <cp:lastPrinted>2025-11-02T20:52:00Z</cp:lastPrinted>
  <dcterms:modified xsi:type="dcterms:W3CDTF">2026-10-21T10:10:57Z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FF3E30EAD9B24379B754CBC9E4F07768_13</vt:lpwstr>
  </property>
  <property fmtid="{D5CDD505-2E9C-101B-9397-08002B2CF9AE}" pid="4" name="KSOTemplateDocerSaveRecord">
    <vt:lpwstr>eyJoZGlkIjoiZjViZTM2ZDMwNDBhOGJjMjcwYTdjOWFjZWI0ODNlNTciLCJ1c2VySWQiOiIyOTc0MDcxMTUifQ==</vt:lpwstr>
  </property>
</Properties>
</file>